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1"/>
        <w:tblW w:w="0" w:type="auto"/>
        <w:jc w:val="center"/>
        <w:tblBorders>
          <w:top w:val="none" w:color="auto" w:sz="0" w:space="0"/>
          <w:left w:val="none" w:color="auto" w:sz="0" w:space="0"/>
          <w:bottom w:val="single" w:color="FF0000" w:sz="18"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360"/>
        <w:gridCol w:w="4147"/>
      </w:tblGrid>
      <w:tr w14:paraId="51EADAA5">
        <w:tblPrEx>
          <w:tblBorders>
            <w:top w:val="none" w:color="auto" w:sz="0" w:space="0"/>
            <w:left w:val="none" w:color="auto" w:sz="0" w:space="0"/>
            <w:bottom w:val="single" w:color="FF0000" w:sz="18"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567" w:hRule="exact"/>
          <w:jc w:val="center"/>
        </w:trPr>
        <w:tc>
          <w:tcPr>
            <w:tcW w:w="8507" w:type="dxa"/>
            <w:gridSpan w:val="2"/>
            <w:tcBorders>
              <w:tl2br w:val="nil"/>
              <w:tr2bl w:val="nil"/>
            </w:tcBorders>
          </w:tcPr>
          <w:p w14:paraId="0C8FB53C">
            <w:pPr>
              <w:adjustRightInd w:val="0"/>
              <w:snapToGrid w:val="0"/>
              <w:spacing w:line="1000" w:lineRule="exact"/>
              <w:jc w:val="center"/>
              <w:rPr>
                <w:rFonts w:ascii="仿宋_GB2312" w:hAnsi="仿宋_GB2312" w:eastAsia="仿宋_GB2312" w:cs="仿宋_GB2312"/>
                <w:color w:val="FF0000"/>
                <w:sz w:val="32"/>
                <w:szCs w:val="32"/>
              </w:rPr>
            </w:pPr>
          </w:p>
        </w:tc>
      </w:tr>
      <w:tr w14:paraId="0D2F7AC7">
        <w:tblPrEx>
          <w:tblBorders>
            <w:top w:val="none" w:color="auto" w:sz="0" w:space="0"/>
            <w:left w:val="none" w:color="auto" w:sz="0" w:space="0"/>
            <w:bottom w:val="single" w:color="FF0000" w:sz="18"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474" w:hRule="exact"/>
          <w:jc w:val="center"/>
        </w:trPr>
        <w:tc>
          <w:tcPr>
            <w:tcW w:w="8507" w:type="dxa"/>
            <w:gridSpan w:val="2"/>
            <w:tcBorders>
              <w:tl2br w:val="nil"/>
              <w:tr2bl w:val="nil"/>
            </w:tcBorders>
            <w:vAlign w:val="center"/>
          </w:tcPr>
          <w:p w14:paraId="0F118660">
            <w:pPr>
              <w:adjustRightInd w:val="0"/>
              <w:snapToGrid w:val="0"/>
              <w:spacing w:line="1600" w:lineRule="exact"/>
              <w:jc w:val="center"/>
              <w:rPr>
                <w:rFonts w:ascii="方正行楷_GBK" w:hAnsi="方正行楷_GBK" w:eastAsia="方正行楷_GBK" w:cs="方正行楷_GBK"/>
                <w:color w:val="FF0000"/>
                <w:spacing w:val="1"/>
                <w:w w:val="88"/>
                <w:kern w:val="0"/>
                <w:sz w:val="96"/>
                <w:szCs w:val="96"/>
              </w:rPr>
            </w:pPr>
            <w:r>
              <w:rPr>
                <w:rFonts w:hint="eastAsia" w:ascii="方正行楷_GBK" w:hAnsi="方正行楷_GBK" w:eastAsia="方正行楷_GBK" w:cs="方正行楷_GBK"/>
                <w:color w:val="FF0000"/>
                <w:spacing w:val="1"/>
                <w:w w:val="67"/>
                <w:kern w:val="0"/>
                <w:sz w:val="144"/>
                <w:szCs w:val="144"/>
                <w:fitText w:val="7795" w:id="1878915766"/>
              </w:rPr>
              <w:t>机构编制研究动</w:t>
            </w:r>
            <w:r>
              <w:rPr>
                <w:rFonts w:hint="eastAsia" w:ascii="方正行楷_GBK" w:hAnsi="方正行楷_GBK" w:eastAsia="方正行楷_GBK" w:cs="方正行楷_GBK"/>
                <w:color w:val="FF0000"/>
                <w:spacing w:val="32"/>
                <w:w w:val="67"/>
                <w:kern w:val="0"/>
                <w:sz w:val="144"/>
                <w:szCs w:val="144"/>
                <w:fitText w:val="7795" w:id="1878915766"/>
              </w:rPr>
              <w:t>态</w:t>
            </w:r>
          </w:p>
        </w:tc>
      </w:tr>
      <w:tr w14:paraId="155587F5">
        <w:tblPrEx>
          <w:tblBorders>
            <w:top w:val="none" w:color="auto" w:sz="0" w:space="0"/>
            <w:left w:val="none" w:color="auto" w:sz="0" w:space="0"/>
            <w:bottom w:val="single" w:color="FF0000" w:sz="18"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40" w:hRule="exact"/>
          <w:jc w:val="center"/>
        </w:trPr>
        <w:tc>
          <w:tcPr>
            <w:tcW w:w="4360" w:type="dxa"/>
            <w:tcBorders>
              <w:tl2br w:val="nil"/>
              <w:tr2bl w:val="nil"/>
            </w:tcBorders>
          </w:tcPr>
          <w:p w14:paraId="7B53E87A">
            <w:pPr>
              <w:adjustRightInd w:val="0"/>
              <w:snapToGrid w:val="0"/>
              <w:spacing w:line="578" w:lineRule="exact"/>
              <w:jc w:val="center"/>
              <w:rPr>
                <w:rFonts w:ascii="仿宋_GB2312" w:hAnsi="仿宋_GB2312" w:eastAsia="仿宋_GB2312" w:cs="仿宋_GB2312"/>
                <w:color w:val="FF0000"/>
                <w:sz w:val="32"/>
                <w:szCs w:val="32"/>
              </w:rPr>
            </w:pPr>
          </w:p>
        </w:tc>
        <w:tc>
          <w:tcPr>
            <w:tcW w:w="4147" w:type="dxa"/>
            <w:tcBorders>
              <w:tl2br w:val="nil"/>
              <w:tr2bl w:val="nil"/>
            </w:tcBorders>
          </w:tcPr>
          <w:p w14:paraId="129BE017">
            <w:pPr>
              <w:adjustRightInd w:val="0"/>
              <w:snapToGrid w:val="0"/>
              <w:spacing w:line="578" w:lineRule="exact"/>
              <w:jc w:val="center"/>
              <w:rPr>
                <w:rFonts w:ascii="仿宋_GB2312" w:hAnsi="仿宋_GB2312" w:eastAsia="仿宋_GB2312" w:cs="仿宋_GB2312"/>
                <w:color w:val="FF0000"/>
                <w:sz w:val="32"/>
                <w:szCs w:val="32"/>
              </w:rPr>
            </w:pPr>
          </w:p>
        </w:tc>
      </w:tr>
      <w:tr w14:paraId="0CC62E3D">
        <w:tblPrEx>
          <w:tblBorders>
            <w:top w:val="none" w:color="auto" w:sz="0" w:space="0"/>
            <w:left w:val="none" w:color="auto" w:sz="0" w:space="0"/>
            <w:bottom w:val="single" w:color="FF0000" w:sz="18"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567" w:hRule="exact"/>
          <w:jc w:val="center"/>
        </w:trPr>
        <w:tc>
          <w:tcPr>
            <w:tcW w:w="8507" w:type="dxa"/>
            <w:gridSpan w:val="2"/>
            <w:tcBorders>
              <w:tl2br w:val="nil"/>
              <w:tr2bl w:val="nil"/>
            </w:tcBorders>
          </w:tcPr>
          <w:p w14:paraId="666D77AF">
            <w:pPr>
              <w:adjustRightInd w:val="0"/>
              <w:snapToGrid w:val="0"/>
              <w:spacing w:line="578" w:lineRule="exact"/>
              <w:jc w:val="center"/>
              <w:rPr>
                <w:rFonts w:ascii="方正楷体_GBK" w:hAnsi="方正楷体_GBK" w:eastAsia="方正楷体_GBK" w:cs="方正楷体_GBK"/>
                <w:color w:val="FF0000"/>
                <w:sz w:val="32"/>
                <w:szCs w:val="32"/>
              </w:rPr>
            </w:pPr>
            <w:r>
              <w:rPr>
                <w:rFonts w:hint="eastAsia" w:ascii="方正楷体_GBK" w:hAnsi="方正楷体_GBK" w:eastAsia="方正楷体_GBK" w:cs="方正楷体_GBK"/>
                <w:color w:val="000000" w:themeColor="text1"/>
                <w:sz w:val="32"/>
                <w:szCs w:val="32"/>
                <w14:textFill>
                  <w14:solidFill>
                    <w14:schemeClr w14:val="tx1"/>
                  </w14:solidFill>
                </w14:textFill>
              </w:rPr>
              <w:t>（202</w:t>
            </w:r>
            <w:r>
              <w:rPr>
                <w:rFonts w:ascii="方正楷体_GBK" w:hAnsi="方正楷体_GBK" w:eastAsia="方正楷体_GBK" w:cs="方正楷体_GBK"/>
                <w:color w:val="000000" w:themeColor="text1"/>
                <w:sz w:val="32"/>
                <w:szCs w:val="32"/>
                <w14:textFill>
                  <w14:solidFill>
                    <w14:schemeClr w14:val="tx1"/>
                  </w14:solidFill>
                </w14:textFill>
              </w:rPr>
              <w:t>4</w:t>
            </w:r>
            <w:r>
              <w:rPr>
                <w:rFonts w:hint="eastAsia" w:ascii="方正楷体_GBK" w:hAnsi="方正楷体_GBK" w:eastAsia="方正楷体_GBK" w:cs="方正楷体_GBK"/>
                <w:color w:val="000000" w:themeColor="text1"/>
                <w:sz w:val="32"/>
                <w:szCs w:val="32"/>
                <w14:textFill>
                  <w14:solidFill>
                    <w14:schemeClr w14:val="tx1"/>
                  </w14:solidFill>
                </w14:textFill>
              </w:rPr>
              <w:t>年第</w:t>
            </w:r>
            <w:r>
              <w:rPr>
                <w:rFonts w:ascii="方正楷体_GBK" w:hAnsi="方正楷体_GBK" w:eastAsia="方正楷体_GBK" w:cs="方正楷体_GBK"/>
                <w:color w:val="000000" w:themeColor="text1"/>
                <w:sz w:val="32"/>
                <w:szCs w:val="32"/>
                <w14:textFill>
                  <w14:solidFill>
                    <w14:schemeClr w14:val="tx1"/>
                  </w14:solidFill>
                </w14:textFill>
              </w:rPr>
              <w:t>2</w:t>
            </w:r>
            <w:r>
              <w:rPr>
                <w:rFonts w:hint="eastAsia" w:ascii="方正楷体_GBK" w:hAnsi="方正楷体_GBK" w:eastAsia="方正楷体_GBK" w:cs="方正楷体_GBK"/>
                <w:color w:val="000000" w:themeColor="text1"/>
                <w:sz w:val="32"/>
                <w:szCs w:val="32"/>
                <w14:textFill>
                  <w14:solidFill>
                    <w14:schemeClr w14:val="tx1"/>
                  </w14:solidFill>
                </w14:textFill>
              </w:rPr>
              <w:t>期  总第</w:t>
            </w:r>
            <w:r>
              <w:rPr>
                <w:rFonts w:ascii="方正楷体_GBK" w:hAnsi="方正楷体_GBK" w:eastAsia="方正楷体_GBK" w:cs="方正楷体_GBK"/>
                <w:color w:val="000000" w:themeColor="text1"/>
                <w:sz w:val="32"/>
                <w:szCs w:val="32"/>
                <w14:textFill>
                  <w14:solidFill>
                    <w14:schemeClr w14:val="tx1"/>
                  </w14:solidFill>
                </w14:textFill>
              </w:rPr>
              <w:t>28</w:t>
            </w:r>
            <w:r>
              <w:rPr>
                <w:rFonts w:hint="eastAsia" w:ascii="方正楷体_GBK" w:hAnsi="方正楷体_GBK" w:eastAsia="方正楷体_GBK" w:cs="方正楷体_GBK"/>
                <w:color w:val="000000" w:themeColor="text1"/>
                <w:sz w:val="32"/>
                <w:szCs w:val="32"/>
                <w14:textFill>
                  <w14:solidFill>
                    <w14:schemeClr w14:val="tx1"/>
                  </w14:solidFill>
                </w14:textFill>
              </w:rPr>
              <w:t>期）</w:t>
            </w:r>
          </w:p>
        </w:tc>
      </w:tr>
      <w:tr w14:paraId="476B6905">
        <w:tblPrEx>
          <w:tblBorders>
            <w:top w:val="none" w:color="auto" w:sz="0" w:space="0"/>
            <w:left w:val="none" w:color="auto" w:sz="0" w:space="0"/>
            <w:bottom w:val="single" w:color="FF0000" w:sz="18"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40" w:hRule="exact"/>
          <w:jc w:val="center"/>
        </w:trPr>
        <w:tc>
          <w:tcPr>
            <w:tcW w:w="4360" w:type="dxa"/>
            <w:tcBorders>
              <w:tl2br w:val="nil"/>
              <w:tr2bl w:val="nil"/>
            </w:tcBorders>
          </w:tcPr>
          <w:p w14:paraId="754BA136">
            <w:pPr>
              <w:adjustRightInd w:val="0"/>
              <w:snapToGrid w:val="0"/>
              <w:spacing w:line="578" w:lineRule="exact"/>
              <w:jc w:val="center"/>
              <w:rPr>
                <w:rFonts w:ascii="仿宋_GB2312" w:hAnsi="仿宋_GB2312" w:eastAsia="仿宋_GB2312" w:cs="仿宋_GB2312"/>
                <w:color w:val="FF0000"/>
                <w:sz w:val="32"/>
                <w:szCs w:val="32"/>
              </w:rPr>
            </w:pPr>
          </w:p>
        </w:tc>
        <w:tc>
          <w:tcPr>
            <w:tcW w:w="4147" w:type="dxa"/>
            <w:tcBorders>
              <w:tl2br w:val="nil"/>
              <w:tr2bl w:val="nil"/>
            </w:tcBorders>
          </w:tcPr>
          <w:p w14:paraId="6FBBBAB1">
            <w:pPr>
              <w:adjustRightInd w:val="0"/>
              <w:snapToGrid w:val="0"/>
              <w:spacing w:line="578" w:lineRule="exact"/>
              <w:jc w:val="center"/>
              <w:rPr>
                <w:rFonts w:ascii="仿宋_GB2312" w:hAnsi="仿宋_GB2312" w:eastAsia="仿宋_GB2312" w:cs="仿宋_GB2312"/>
                <w:color w:val="FF0000"/>
                <w:sz w:val="32"/>
                <w:szCs w:val="32"/>
              </w:rPr>
            </w:pPr>
          </w:p>
        </w:tc>
      </w:tr>
      <w:tr w14:paraId="0FC5142A">
        <w:tblPrEx>
          <w:tblBorders>
            <w:top w:val="none" w:color="auto" w:sz="0" w:space="0"/>
            <w:left w:val="none" w:color="auto" w:sz="0" w:space="0"/>
            <w:bottom w:val="single" w:color="FF0000" w:sz="18"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567" w:hRule="exact"/>
          <w:jc w:val="center"/>
        </w:trPr>
        <w:tc>
          <w:tcPr>
            <w:tcW w:w="4360" w:type="dxa"/>
            <w:tcBorders>
              <w:tl2br w:val="nil"/>
              <w:tr2bl w:val="nil"/>
            </w:tcBorders>
          </w:tcPr>
          <w:p w14:paraId="6AAE0312">
            <w:pPr>
              <w:adjustRightInd w:val="0"/>
              <w:snapToGrid w:val="0"/>
              <w:spacing w:line="578" w:lineRule="exact"/>
              <w:ind w:left="194" w:leftChars="100"/>
              <w:jc w:val="left"/>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石家庄市机构编制研究中心</w:t>
            </w:r>
          </w:p>
        </w:tc>
        <w:tc>
          <w:tcPr>
            <w:tcW w:w="4147" w:type="dxa"/>
            <w:tcBorders>
              <w:tl2br w:val="nil"/>
              <w:tr2bl w:val="nil"/>
            </w:tcBorders>
          </w:tcPr>
          <w:p w14:paraId="58318AF5">
            <w:pPr>
              <w:wordWrap w:val="0"/>
              <w:adjustRightInd w:val="0"/>
              <w:snapToGrid w:val="0"/>
              <w:spacing w:line="578" w:lineRule="exact"/>
              <w:ind w:left="194" w:leftChars="100" w:right="194" w:rightChars="100"/>
              <w:jc w:val="right"/>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2024年</w:t>
            </w:r>
            <w:r>
              <w:rPr>
                <w:rFonts w:ascii="仿宋_GB2312" w:hAnsi="仿宋_GB2312" w:eastAsia="仿宋_GB2312" w:cs="仿宋_GB2312"/>
                <w:color w:val="000000" w:themeColor="text1"/>
                <w:sz w:val="32"/>
                <w:szCs w:val="32"/>
                <w14:textFill>
                  <w14:solidFill>
                    <w14:schemeClr w14:val="tx1"/>
                  </w14:solidFill>
                </w14:textFill>
              </w:rPr>
              <w:t>2</w:t>
            </w:r>
            <w:r>
              <w:rPr>
                <w:rFonts w:hint="eastAsia" w:ascii="仿宋_GB2312" w:hAnsi="仿宋_GB2312" w:eastAsia="仿宋_GB2312" w:cs="仿宋_GB2312"/>
                <w:color w:val="000000" w:themeColor="text1"/>
                <w:sz w:val="32"/>
                <w:szCs w:val="32"/>
                <w14:textFill>
                  <w14:solidFill>
                    <w14:schemeClr w14:val="tx1"/>
                  </w14:solidFill>
                </w14:textFill>
              </w:rPr>
              <w:t>月</w:t>
            </w:r>
            <w:r>
              <w:rPr>
                <w:rFonts w:ascii="仿宋_GB2312" w:hAnsi="仿宋_GB2312" w:eastAsia="仿宋_GB2312" w:cs="仿宋_GB2312"/>
                <w:color w:val="000000" w:themeColor="text1"/>
                <w:sz w:val="32"/>
                <w:szCs w:val="32"/>
                <w14:textFill>
                  <w14:solidFill>
                    <w14:schemeClr w14:val="tx1"/>
                  </w14:solidFill>
                </w14:textFill>
              </w:rPr>
              <w:t>28</w:t>
            </w:r>
            <w:r>
              <w:rPr>
                <w:rFonts w:hint="eastAsia" w:ascii="仿宋_GB2312" w:hAnsi="仿宋_GB2312" w:eastAsia="仿宋_GB2312" w:cs="仿宋_GB2312"/>
                <w:color w:val="000000" w:themeColor="text1"/>
                <w:sz w:val="32"/>
                <w:szCs w:val="32"/>
                <w14:textFill>
                  <w14:solidFill>
                    <w14:schemeClr w14:val="tx1"/>
                  </w14:solidFill>
                </w14:textFill>
              </w:rPr>
              <w:t>日</w:t>
            </w:r>
          </w:p>
        </w:tc>
      </w:tr>
    </w:tbl>
    <w:p w14:paraId="49C7E6AA">
      <w:pPr>
        <w:adjustRightInd w:val="0"/>
        <w:snapToGrid w:val="0"/>
        <w:spacing w:line="640" w:lineRule="exact"/>
        <w:jc w:val="center"/>
        <w:rPr>
          <w:rFonts w:ascii="仿宋_GB2312" w:hAnsi="仿宋_GB2312" w:eastAsia="仿宋_GB2312" w:cs="仿宋_GB2312"/>
          <w:color w:val="FF0000"/>
          <w:sz w:val="32"/>
          <w:szCs w:val="32"/>
        </w:rPr>
      </w:pPr>
    </w:p>
    <w:p w14:paraId="0C7B961C">
      <w:pPr>
        <w:adjustRightInd w:val="0"/>
        <w:snapToGrid w:val="0"/>
        <w:spacing w:line="640" w:lineRule="exact"/>
        <w:jc w:val="center"/>
        <w:rPr>
          <w:rFonts w:ascii="方正小标宋简体" w:hAnsi="方正小标宋简体" w:eastAsia="方正小标宋简体" w:cs="方正小标宋简体"/>
          <w:color w:val="000000" w:themeColor="text1"/>
          <w:kern w:val="0"/>
          <w:sz w:val="40"/>
          <w:szCs w:val="40"/>
          <w14:textFill>
            <w14:solidFill>
              <w14:schemeClr w14:val="tx1"/>
            </w14:solidFill>
          </w14:textFill>
        </w:rPr>
      </w:pPr>
      <w:r>
        <w:rPr>
          <w:rFonts w:hint="eastAsia" w:ascii="方正小标宋简体" w:hAnsi="方正小标宋简体" w:eastAsia="方正小标宋简体" w:cs="方正小标宋简体"/>
          <w:color w:val="000000" w:themeColor="text1"/>
          <w:kern w:val="0"/>
          <w:sz w:val="40"/>
          <w:szCs w:val="40"/>
          <w14:textFill>
            <w14:solidFill>
              <w14:schemeClr w14:val="tx1"/>
            </w14:solidFill>
          </w14:textFill>
        </w:rPr>
        <w:t>本期主要内容</w:t>
      </w:r>
    </w:p>
    <w:p w14:paraId="0CEB0C3A">
      <w:pPr>
        <w:adjustRightInd w:val="0"/>
        <w:snapToGrid w:val="0"/>
        <w:spacing w:line="640" w:lineRule="exact"/>
        <w:jc w:val="center"/>
        <w:rPr>
          <w:rFonts w:ascii="方正行楷_GBK" w:hAnsi="方正行楷_GBK" w:eastAsia="方正行楷_GBK" w:cs="方正行楷_GBK"/>
          <w:color w:val="000000" w:themeColor="text1"/>
          <w:kern w:val="0"/>
          <w:sz w:val="36"/>
          <w:szCs w:val="36"/>
          <w14:textFill>
            <w14:solidFill>
              <w14:schemeClr w14:val="tx1"/>
            </w14:solidFill>
          </w14:textFill>
        </w:rPr>
      </w:pPr>
    </w:p>
    <w:p w14:paraId="490154BF">
      <w:pPr>
        <w:tabs>
          <w:tab w:val="left" w:leader="dot" w:pos="7720"/>
        </w:tabs>
        <w:adjustRightInd w:val="0"/>
        <w:snapToGrid w:val="0"/>
        <w:ind w:firstLine="608" w:firstLineChars="200"/>
        <w:rPr>
          <w:rFonts w:ascii="仿宋_GB2312" w:hAnsi="仿宋_GB2312" w:eastAsia="仿宋_GB2312" w:cs="仿宋_GB2312"/>
          <w:color w:val="000000" w:themeColor="text1"/>
          <w:kern w:val="0"/>
          <w:sz w:val="32"/>
          <w:szCs w:val="32"/>
          <w14:textFill>
            <w14:solidFill>
              <w14:schemeClr w14:val="tx1"/>
            </w14:solidFill>
          </w14:textFill>
        </w:rPr>
      </w:pPr>
    </w:p>
    <w:p w14:paraId="4E792032">
      <w:pPr>
        <w:tabs>
          <w:tab w:val="left" w:leader="dot" w:pos="7720"/>
        </w:tabs>
        <w:adjustRightInd w:val="0"/>
        <w:snapToGrid w:val="0"/>
        <w:ind w:firstLine="688" w:firstLineChars="200"/>
        <w:rPr>
          <w:rFonts w:ascii="黑体" w:hAnsi="黑体" w:eastAsia="黑体" w:cs="黑体"/>
          <w:color w:val="000000" w:themeColor="text1"/>
          <w:sz w:val="36"/>
          <w:szCs w:val="36"/>
          <w14:textFill>
            <w14:solidFill>
              <w14:schemeClr w14:val="tx1"/>
            </w14:solidFill>
          </w14:textFill>
        </w:rPr>
      </w:pPr>
      <w:r>
        <w:rPr>
          <w:rFonts w:hint="eastAsia" w:ascii="黑体" w:hAnsi="黑体" w:eastAsia="黑体" w:cs="黑体"/>
          <w:color w:val="000000" w:themeColor="text1"/>
          <w:kern w:val="0"/>
          <w:sz w:val="36"/>
          <w:szCs w:val="36"/>
          <w14:textFill>
            <w14:solidFill>
              <w14:schemeClr w14:val="tx1"/>
            </w14:solidFill>
          </w14:textFill>
        </w:rPr>
        <w:t>一、</w:t>
      </w:r>
      <w:r>
        <w:rPr>
          <w:rFonts w:hint="eastAsia" w:ascii="黑体" w:hAnsi="黑体" w:eastAsia="黑体" w:cs="黑体"/>
          <w:color w:val="000000" w:themeColor="text1"/>
          <w:sz w:val="36"/>
          <w:szCs w:val="36"/>
          <w14:textFill>
            <w14:solidFill>
              <w14:schemeClr w14:val="tx1"/>
            </w14:solidFill>
          </w14:textFill>
        </w:rPr>
        <w:t>临沂市机构</w:t>
      </w:r>
      <w:r>
        <w:rPr>
          <w:rFonts w:ascii="黑体" w:hAnsi="黑体" w:eastAsia="黑体" w:cs="黑体"/>
          <w:color w:val="000000" w:themeColor="text1"/>
          <w:sz w:val="36"/>
          <w:szCs w:val="36"/>
          <w14:textFill>
            <w14:solidFill>
              <w14:schemeClr w14:val="tx1"/>
            </w14:solidFill>
          </w14:textFill>
        </w:rPr>
        <w:t>编制</w:t>
      </w:r>
      <w:r>
        <w:rPr>
          <w:rFonts w:hint="eastAsia" w:ascii="黑体" w:hAnsi="黑体" w:eastAsia="黑体" w:cs="黑体"/>
          <w:color w:val="000000" w:themeColor="text1"/>
          <w:sz w:val="36"/>
          <w:szCs w:val="36"/>
          <w14:textFill>
            <w14:solidFill>
              <w14:schemeClr w14:val="tx1"/>
            </w14:solidFill>
          </w14:textFill>
        </w:rPr>
        <w:t>管理</w:t>
      </w:r>
      <w:r>
        <w:rPr>
          <w:rFonts w:ascii="黑体" w:hAnsi="黑体" w:eastAsia="黑体" w:cs="黑体"/>
          <w:color w:val="000000" w:themeColor="text1"/>
          <w:sz w:val="36"/>
          <w:szCs w:val="36"/>
          <w14:textFill>
            <w14:solidFill>
              <w14:schemeClr w14:val="tx1"/>
            </w14:solidFill>
          </w14:textFill>
        </w:rPr>
        <w:t>经验</w:t>
      </w:r>
      <w:r>
        <w:rPr>
          <w:rFonts w:hint="eastAsia" w:ascii="黑体" w:hAnsi="黑体" w:eastAsia="黑体" w:cs="黑体"/>
          <w:color w:val="000000" w:themeColor="text1"/>
          <w:sz w:val="36"/>
          <w:szCs w:val="36"/>
          <w14:textFill>
            <w14:solidFill>
              <w14:schemeClr w14:val="tx1"/>
            </w14:solidFill>
          </w14:textFill>
        </w:rPr>
        <w:t>…………………</w:t>
      </w:r>
      <w:r>
        <w:rPr>
          <w:rFonts w:hint="eastAsia" w:ascii="仿宋_GB2312" w:hAnsi="仿宋_GB2312" w:eastAsia="仿宋_GB2312" w:cs="仿宋_GB2312"/>
          <w:color w:val="000000" w:themeColor="text1"/>
          <w:kern w:val="0"/>
          <w:sz w:val="36"/>
          <w:szCs w:val="36"/>
          <w14:textFill>
            <w14:solidFill>
              <w14:schemeClr w14:val="tx1"/>
            </w14:solidFill>
          </w14:textFill>
        </w:rPr>
        <w:t>–1–</w:t>
      </w:r>
    </w:p>
    <w:p w14:paraId="10E04B95">
      <w:pPr>
        <w:rPr>
          <w:rFonts w:ascii="仿宋_GB2312" w:hAnsi="仿宋_GB2312" w:eastAsia="仿宋_GB2312" w:cs="仿宋_GB2312"/>
          <w:color w:val="000000" w:themeColor="text1"/>
          <w:sz w:val="36"/>
          <w:szCs w:val="36"/>
          <w14:textFill>
            <w14:solidFill>
              <w14:schemeClr w14:val="tx1"/>
            </w14:solidFill>
          </w14:textFill>
        </w:rPr>
      </w:pPr>
    </w:p>
    <w:p w14:paraId="39E089F8">
      <w:pPr>
        <w:ind w:firstLine="688" w:firstLineChars="200"/>
        <w:rPr>
          <w:rFonts w:ascii="宋体" w:hAnsi="宋体" w:eastAsia="宋体" w:cs="宋体"/>
          <w:color w:val="000000" w:themeColor="text1"/>
          <w:sz w:val="36"/>
          <w:szCs w:val="36"/>
          <w14:textFill>
            <w14:solidFill>
              <w14:schemeClr w14:val="tx1"/>
            </w14:solidFill>
          </w14:textFill>
        </w:rPr>
      </w:pPr>
      <w:r>
        <w:rPr>
          <w:rFonts w:hint="eastAsia" w:ascii="黑体" w:hAnsi="黑体" w:eastAsia="黑体" w:cs="黑体"/>
          <w:color w:val="000000" w:themeColor="text1"/>
          <w:sz w:val="36"/>
          <w:szCs w:val="36"/>
          <w14:textFill>
            <w14:solidFill>
              <w14:schemeClr w14:val="tx1"/>
            </w14:solidFill>
          </w14:textFill>
        </w:rPr>
        <w:t>二、优秀理论成果推荐…………………………</w:t>
      </w:r>
      <w:r>
        <w:rPr>
          <w:rFonts w:hint="eastAsia" w:ascii="仿宋_GB2312" w:hAnsi="仿宋_GB2312" w:eastAsia="仿宋_GB2312" w:cs="仿宋_GB2312"/>
          <w:color w:val="000000" w:themeColor="text1"/>
          <w:sz w:val="36"/>
          <w:szCs w:val="36"/>
          <w14:textFill>
            <w14:solidFill>
              <w14:schemeClr w14:val="tx1"/>
            </w14:solidFill>
          </w14:textFill>
        </w:rPr>
        <w:t>–</w:t>
      </w:r>
      <w:r>
        <w:rPr>
          <w:rFonts w:ascii="仿宋_GB2312" w:hAnsi="仿宋_GB2312" w:eastAsia="仿宋_GB2312" w:cs="仿宋_GB2312"/>
          <w:color w:val="000000" w:themeColor="text1"/>
          <w:sz w:val="36"/>
          <w:szCs w:val="36"/>
          <w14:textFill>
            <w14:solidFill>
              <w14:schemeClr w14:val="tx1"/>
            </w14:solidFill>
          </w14:textFill>
        </w:rPr>
        <w:t>12</w:t>
      </w:r>
      <w:r>
        <w:rPr>
          <w:rFonts w:hint="eastAsia" w:ascii="仿宋_GB2312" w:hAnsi="仿宋_GB2312" w:eastAsia="仿宋_GB2312" w:cs="仿宋_GB2312"/>
          <w:color w:val="000000" w:themeColor="text1"/>
          <w:sz w:val="36"/>
          <w:szCs w:val="36"/>
          <w14:textFill>
            <w14:solidFill>
              <w14:schemeClr w14:val="tx1"/>
            </w14:solidFill>
          </w14:textFill>
        </w:rPr>
        <w:t>–</w:t>
      </w:r>
    </w:p>
    <w:p w14:paraId="09E9928F">
      <w:pPr>
        <w:ind w:firstLine="688" w:firstLineChars="200"/>
        <w:rPr>
          <w:rFonts w:ascii="黑体" w:hAnsi="黑体" w:eastAsia="黑体" w:cs="黑体"/>
          <w:color w:val="000000" w:themeColor="text1"/>
          <w:sz w:val="36"/>
          <w:szCs w:val="36"/>
          <w14:textFill>
            <w14:solidFill>
              <w14:schemeClr w14:val="tx1"/>
            </w14:solidFill>
          </w14:textFill>
        </w:rPr>
      </w:pPr>
    </w:p>
    <w:p w14:paraId="23390D01">
      <w:pPr>
        <w:rPr>
          <w:rFonts w:ascii="仿宋_GB2312" w:hAnsi="仿宋_GB2312" w:eastAsia="仿宋_GB2312" w:cs="仿宋_GB2312"/>
          <w:color w:val="000000" w:themeColor="text1"/>
          <w:sz w:val="36"/>
          <w:szCs w:val="36"/>
          <w14:textFill>
            <w14:solidFill>
              <w14:schemeClr w14:val="tx1"/>
            </w14:solidFill>
          </w14:textFill>
        </w:rPr>
      </w:pPr>
    </w:p>
    <w:p w14:paraId="060A61A3">
      <w:pPr>
        <w:rPr>
          <w:rFonts w:ascii="方正小标宋简体" w:hAnsi="方正小标宋简体" w:eastAsia="方正小标宋简体" w:cs="方正小标宋简体"/>
          <w:color w:val="000000" w:themeColor="text1"/>
          <w:sz w:val="44"/>
          <w:szCs w:val="44"/>
          <w14:textFill>
            <w14:solidFill>
              <w14:schemeClr w14:val="tx1"/>
            </w14:solidFill>
          </w14:textFill>
        </w:rPr>
      </w:pPr>
    </w:p>
    <w:p w14:paraId="2134A25B">
      <w:pPr>
        <w:adjustRightInd w:val="0"/>
        <w:snapToGrid w:val="0"/>
        <w:spacing w:line="640" w:lineRule="exact"/>
        <w:jc w:val="center"/>
        <w:rPr>
          <w:rFonts w:ascii="仿宋_GB2312" w:hAnsi="仿宋_GB2312" w:eastAsia="仿宋_GB2312" w:cs="仿宋_GB2312"/>
          <w:color w:val="000000" w:themeColor="text1"/>
          <w:kern w:val="0"/>
          <w:sz w:val="36"/>
          <w:szCs w:val="36"/>
          <w14:textFill>
            <w14:solidFill>
              <w14:schemeClr w14:val="tx1"/>
            </w14:solidFill>
          </w14:textFill>
        </w:rPr>
        <w:sectPr>
          <w:footerReference r:id="rId4" w:type="first"/>
          <w:footerReference r:id="rId3" w:type="default"/>
          <w:pgSz w:w="11906" w:h="16838"/>
          <w:pgMar w:top="1701" w:right="1701" w:bottom="1701" w:left="1701" w:header="851" w:footer="1304" w:gutter="0"/>
          <w:cols w:space="0" w:num="1"/>
          <w:docGrid w:type="linesAndChars" w:linePitch="671" w:charSpace="-3426"/>
        </w:sectPr>
      </w:pPr>
      <w:r>
        <w:rPr>
          <w:rFonts w:ascii="方正小标宋简体" w:hAnsi="方正小标宋简体" w:eastAsia="方正小标宋简体" w:cs="方正小标宋简体"/>
          <w:color w:val="000000" w:themeColor="text1"/>
          <w:sz w:val="44"/>
          <w:szCs w:val="44"/>
          <w14:textFill>
            <w14:solidFill>
              <w14:schemeClr w14:val="tx1"/>
            </w14:solidFill>
          </w14:textFill>
        </w:rPr>
        <mc:AlternateContent>
          <mc:Choice Requires="wps">
            <w:drawing>
              <wp:anchor distT="45720" distB="45720" distL="114300" distR="114300" simplePos="0" relativeHeight="251660288" behindDoc="0" locked="0" layoutInCell="1" allowOverlap="1">
                <wp:simplePos x="0" y="0"/>
                <wp:positionH relativeFrom="column">
                  <wp:posOffset>4276090</wp:posOffset>
                </wp:positionH>
                <wp:positionV relativeFrom="paragraph">
                  <wp:posOffset>495300</wp:posOffset>
                </wp:positionV>
                <wp:extent cx="1208405" cy="397510"/>
                <wp:effectExtent l="0" t="0" r="0" b="2540"/>
                <wp:wrapSquare wrapText="bothSides"/>
                <wp:docPr id="21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1208405" cy="397510"/>
                        </a:xfrm>
                        <a:prstGeom prst="rect">
                          <a:avLst/>
                        </a:prstGeom>
                        <a:noFill/>
                        <a:ln w="9525">
                          <a:noFill/>
                          <a:miter lim="800000"/>
                        </a:ln>
                      </wps:spPr>
                      <wps:txbx>
                        <w:txbxContent>
                          <w:p w14:paraId="61B284FD">
                            <w:pPr>
                              <w:rPr>
                                <w:rFonts w:ascii="楷体" w:hAnsi="楷体" w:eastAsia="楷体"/>
                                <w:b/>
                              </w:rPr>
                            </w:pPr>
                            <w:r>
                              <w:rPr>
                                <w:rFonts w:hint="eastAsia" w:ascii="楷体" w:hAnsi="楷体" w:eastAsia="楷体"/>
                                <w:b/>
                              </w:rPr>
                              <w:t>扫</w:t>
                            </w:r>
                            <w:r>
                              <w:rPr>
                                <w:rFonts w:ascii="楷体" w:hAnsi="楷体" w:eastAsia="楷体"/>
                                <w:b/>
                              </w:rPr>
                              <w:t>一扫</w:t>
                            </w:r>
                            <w:r>
                              <w:rPr>
                                <w:rFonts w:hint="eastAsia" w:ascii="楷体" w:hAnsi="楷体" w:eastAsia="楷体"/>
                                <w:b/>
                              </w:rPr>
                              <w:t xml:space="preserve"> 阅读</w:t>
                            </w:r>
                            <w:r>
                              <w:rPr>
                                <w:rFonts w:ascii="楷体" w:hAnsi="楷体" w:eastAsia="楷体"/>
                                <w:b/>
                              </w:rPr>
                              <w:t>全文</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336.7pt;margin-top:39pt;height:31.3pt;width:95.15pt;mso-wrap-distance-bottom:3.6pt;mso-wrap-distance-left:9pt;mso-wrap-distance-right:9pt;mso-wrap-distance-top:3.6pt;z-index:251660288;mso-width-relative:page;mso-height-relative:page;" filled="f" stroked="f" coordsize="21600,21600" o:gfxdata="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gn7UL9cAAAAKAQAADwAAAAAAAAABACAAAAAiAAAAZHJzL2Rvd25yZXYueG1sUEsBAhQAFAAAAAgA&#10;h07iQNS3tWomAgAAKwQAAA4AAAAAAAAAAQAgAAAAJgEAAGRycy9lMm9Eb2MueG1sUEsFBgAAAAAG&#10;AAYAWQEAAL4FAAAAAA==&#10;">
                <v:fill on="f" focussize="0,0"/>
                <v:stroke on="f" miterlimit="8" joinstyle="miter"/>
                <v:imagedata o:title=""/>
                <o:lock v:ext="edit" aspectratio="f"/>
                <v:textbox>
                  <w:txbxContent>
                    <w:p w14:paraId="61B284FD">
                      <w:pPr>
                        <w:rPr>
                          <w:rFonts w:ascii="楷体" w:hAnsi="楷体" w:eastAsia="楷体"/>
                          <w:b/>
                        </w:rPr>
                      </w:pPr>
                      <w:r>
                        <w:rPr>
                          <w:rFonts w:hint="eastAsia" w:ascii="楷体" w:hAnsi="楷体" w:eastAsia="楷体"/>
                          <w:b/>
                        </w:rPr>
                        <w:t>扫</w:t>
                      </w:r>
                      <w:r>
                        <w:rPr>
                          <w:rFonts w:ascii="楷体" w:hAnsi="楷体" w:eastAsia="楷体"/>
                          <w:b/>
                        </w:rPr>
                        <w:t>一扫</w:t>
                      </w:r>
                      <w:r>
                        <w:rPr>
                          <w:rFonts w:hint="eastAsia" w:ascii="楷体" w:hAnsi="楷体" w:eastAsia="楷体"/>
                          <w:b/>
                        </w:rPr>
                        <w:t xml:space="preserve"> 阅读</w:t>
                      </w:r>
                      <w:r>
                        <w:rPr>
                          <w:rFonts w:ascii="楷体" w:hAnsi="楷体" w:eastAsia="楷体"/>
                          <w:b/>
                        </w:rPr>
                        <w:t>全文</w:t>
                      </w:r>
                    </w:p>
                  </w:txbxContent>
                </v:textbox>
                <w10:wrap type="square"/>
              </v:shape>
            </w:pict>
          </mc:Fallback>
        </mc:AlternateContent>
      </w:r>
    </w:p>
    <w:p w14:paraId="4C214CAA">
      <w:pPr>
        <w:pStyle w:val="2"/>
        <w:sectPr>
          <w:headerReference r:id="rId5" w:type="default"/>
          <w:pgSz w:w="11906" w:h="16838"/>
          <w:pgMar w:top="1701" w:right="1701" w:bottom="1701" w:left="1701" w:header="851" w:footer="1304" w:gutter="0"/>
          <w:cols w:space="0" w:num="1"/>
          <w:docGrid w:type="linesAndChars" w:linePitch="671" w:charSpace="-3426"/>
        </w:sectPr>
      </w:pPr>
    </w:p>
    <w:p w14:paraId="215F062D">
      <w:pPr>
        <w:spacing w:line="640" w:lineRule="exact"/>
        <w:jc w:val="center"/>
        <w:rPr>
          <w:rFonts w:ascii="方正小标宋简体" w:hAnsi="等线" w:eastAsia="方正小标宋简体" w:cs="Times New Roman"/>
          <w:sz w:val="44"/>
          <w:szCs w:val="44"/>
        </w:rPr>
      </w:pPr>
      <w:r>
        <w:rPr>
          <w:rFonts w:hint="eastAsia" w:ascii="方正小标宋简体" w:hAnsi="等线" w:eastAsia="方正小标宋简体" w:cs="Times New Roman"/>
          <w:sz w:val="44"/>
          <w:szCs w:val="44"/>
        </w:rPr>
        <w:t>为民导向准确定责</w:t>
      </w:r>
    </w:p>
    <w:p w14:paraId="4526BDCB">
      <w:pPr>
        <w:spacing w:line="640" w:lineRule="exact"/>
        <w:jc w:val="center"/>
        <w:rPr>
          <w:rFonts w:ascii="方正小标宋简体" w:hAnsi="等线" w:eastAsia="方正小标宋简体" w:cs="Times New Roman"/>
          <w:sz w:val="44"/>
          <w:szCs w:val="44"/>
        </w:rPr>
      </w:pPr>
      <w:r>
        <w:rPr>
          <w:rFonts w:hint="eastAsia" w:ascii="方正小标宋简体" w:hAnsi="等线" w:eastAsia="方正小标宋简体" w:cs="Times New Roman"/>
          <w:sz w:val="44"/>
          <w:szCs w:val="44"/>
        </w:rPr>
        <w:t>着力破解重点领域推诿扯皮顽疾</w:t>
      </w:r>
    </w:p>
    <w:p w14:paraId="506A18E2">
      <w:pPr>
        <w:spacing w:line="640" w:lineRule="exact"/>
        <w:jc w:val="center"/>
        <w:rPr>
          <w:rFonts w:ascii="仿宋_GB2312" w:hAnsi="等线" w:eastAsia="仿宋_GB2312" w:cs="Times New Roman"/>
          <w:sz w:val="36"/>
          <w:szCs w:val="36"/>
        </w:rPr>
      </w:pPr>
      <w:r>
        <w:rPr>
          <w:rFonts w:hint="eastAsia" w:ascii="仿宋_GB2312" w:hAnsi="等线" w:eastAsia="仿宋_GB2312" w:cs="Times New Roman"/>
          <w:kern w:val="0"/>
          <w:sz w:val="36"/>
          <w:szCs w:val="36"/>
        </w:rPr>
        <w:t>●</w:t>
      </w:r>
      <w:r>
        <w:rPr>
          <w:rFonts w:hint="eastAsia" w:ascii="仿宋_GB2312" w:hAnsi="等线" w:eastAsia="仿宋_GB2312" w:cs="Times New Roman"/>
          <w:sz w:val="36"/>
          <w:szCs w:val="36"/>
        </w:rPr>
        <w:t>临沂市委编办</w:t>
      </w:r>
    </w:p>
    <w:p w14:paraId="6B1A3BE3">
      <w:pPr>
        <w:spacing w:line="640" w:lineRule="exact"/>
        <w:ind w:firstLine="720" w:firstLineChars="200"/>
        <w:rPr>
          <w:rFonts w:ascii="楷体" w:hAnsi="楷体" w:eastAsia="楷体" w:cs="Times New Roman"/>
          <w:sz w:val="36"/>
          <w:szCs w:val="36"/>
        </w:rPr>
      </w:pPr>
      <w:r>
        <w:rPr>
          <w:rFonts w:hint="eastAsia" w:ascii="楷体" w:hAnsi="楷体" w:eastAsia="楷体" w:cs="Times New Roman"/>
          <w:sz w:val="36"/>
          <w:szCs w:val="36"/>
        </w:rPr>
        <w:t>临沂市从提高“12345”办理效率入手，深入调研分析“堵点”、精准定责、抓执行落实，细化了分工流程，提升了执行效果，有效地促进了部门单位协同高效履职。</w:t>
      </w:r>
    </w:p>
    <w:p w14:paraId="5D2164FD">
      <w:pPr>
        <w:spacing w:line="640" w:lineRule="exact"/>
        <w:ind w:firstLine="720" w:firstLineChars="200"/>
        <w:rPr>
          <w:rFonts w:ascii="仿宋_GB2312" w:hAnsi="等线" w:eastAsia="仿宋_GB2312" w:cs="Times New Roman"/>
          <w:sz w:val="36"/>
          <w:szCs w:val="36"/>
        </w:rPr>
      </w:pPr>
      <w:r>
        <w:rPr>
          <w:rFonts w:hint="eastAsia" w:ascii="仿宋_GB2312" w:hAnsi="等线" w:eastAsia="仿宋_GB2312" w:cs="Times New Roman"/>
          <w:sz w:val="36"/>
          <w:szCs w:val="36"/>
        </w:rPr>
        <w:t>部门单位之间存在的推诿扯皮事项，是影响人民群众获得感、满意度的“老大难”问题。为打通民生事项办理堵点，临沂市从提高“12345</w:t>
      </w:r>
      <w:r>
        <w:rPr>
          <w:rFonts w:hint="cs" w:ascii="微软雅黑" w:hAnsi="微软雅黑" w:eastAsia="微软雅黑" w:cs="微软雅黑"/>
          <w:sz w:val="36"/>
          <w:szCs w:val="36"/>
        </w:rPr>
        <w:t>•</w:t>
      </w:r>
      <w:r>
        <w:rPr>
          <w:rFonts w:hint="eastAsia" w:ascii="仿宋_GB2312" w:hAnsi="等线" w:eastAsia="仿宋_GB2312" w:cs="Times New Roman"/>
          <w:sz w:val="36"/>
          <w:szCs w:val="36"/>
        </w:rPr>
        <w:t>临沂首发”办理效率入手，通过深入剖析问题、细化分工流程、抓好落实问效，有效促进部门单位协同高效履职。2023年7月以来，全市12345热线推诿工单数量同比下降88.6%,一次办好率由70%提升至79.4%,群众满意率由91.3%提升至93.7%。</w:t>
      </w:r>
    </w:p>
    <w:p w14:paraId="14ABCD08">
      <w:pPr>
        <w:spacing w:line="640" w:lineRule="exact"/>
        <w:ind w:firstLine="720" w:firstLineChars="200"/>
        <w:rPr>
          <w:rFonts w:ascii="黑体" w:hAnsi="黑体" w:eastAsia="黑体" w:cs="Times New Roman"/>
          <w:sz w:val="36"/>
          <w:szCs w:val="36"/>
        </w:rPr>
      </w:pPr>
      <w:r>
        <w:rPr>
          <w:rFonts w:hint="eastAsia" w:ascii="黑体" w:hAnsi="黑体" w:eastAsia="黑体" w:cs="Times New Roman"/>
          <w:sz w:val="36"/>
          <w:szCs w:val="36"/>
        </w:rPr>
        <w:t>一、深入调研分析，“解剖麻雀”找堵点</w:t>
      </w:r>
    </w:p>
    <w:p w14:paraId="6A493748">
      <w:pPr>
        <w:spacing w:line="640" w:lineRule="exact"/>
        <w:ind w:firstLine="720" w:firstLineChars="200"/>
        <w:rPr>
          <w:rFonts w:ascii="仿宋_GB2312" w:hAnsi="等线" w:eastAsia="仿宋_GB2312" w:cs="Times New Roman"/>
          <w:sz w:val="36"/>
          <w:szCs w:val="36"/>
        </w:rPr>
      </w:pPr>
      <w:r>
        <w:rPr>
          <w:rFonts w:hint="eastAsia" w:ascii="仿宋_GB2312" w:hAnsi="等线" w:eastAsia="仿宋_GB2312" w:cs="Times New Roman"/>
          <w:sz w:val="36"/>
          <w:szCs w:val="36"/>
        </w:rPr>
        <w:t>一是“案例化”剖析找准症结。对2023年以来12345热线1.96万件回退工单和市县调研发现的350个高频问题，逐一进行“解剖麻雀”式的案例解读。通过深入分析群众诉求重点、办事流程堵点、部门争议焦点等内容，确定交通运输、市场秩序、住房保障等19个领域81类推诿扯皮突出问题。二是“分类别”溯源对症施策。按照问题产生的原因进行研判分析，区分不同情形对症施策。对50类职责规定清晰但部门履行不到位的，重点抓责任落实，督促规范履职；对23类因职责规定过于宽泛造成争议的，重点厘清职责界限；对8类新兴行业缺乏法律依据的，明确主责部门，填补履职“真空”。三是“点对点”调研协商破题。市级层面，赴市场监管、住建、城管等10个重点部门开展专题研讨，各主管部门现场讲解具体业务，机构编制部门提出履职建议，通过厘清问题涉及的法律依据、政策要求、工作惯例，共同协商研究优化机制的思路措施；县级层面，面向12个县区进行书面调研，了解基层解决类似问题的具体做法及运行成效，为准确界定职责分工提供重要参考。</w:t>
      </w:r>
    </w:p>
    <w:p w14:paraId="3BAC5FF1">
      <w:pPr>
        <w:spacing w:line="640" w:lineRule="exact"/>
        <w:ind w:firstLine="720" w:firstLineChars="200"/>
        <w:rPr>
          <w:rFonts w:ascii="黑体" w:hAnsi="黑体" w:eastAsia="黑体" w:cs="Times New Roman"/>
          <w:sz w:val="36"/>
          <w:szCs w:val="36"/>
        </w:rPr>
      </w:pPr>
      <w:r>
        <w:rPr>
          <w:rFonts w:hint="eastAsia" w:ascii="黑体" w:hAnsi="黑体" w:eastAsia="黑体" w:cs="Times New Roman"/>
          <w:sz w:val="36"/>
          <w:szCs w:val="36"/>
        </w:rPr>
        <w:t>二、创新方式方法，精准定责破难题</w:t>
      </w:r>
    </w:p>
    <w:p w14:paraId="21446BF5">
      <w:pPr>
        <w:spacing w:line="640" w:lineRule="exact"/>
        <w:ind w:firstLine="720" w:firstLineChars="200"/>
        <w:rPr>
          <w:rFonts w:ascii="仿宋_GB2312" w:hAnsi="等线" w:eastAsia="仿宋_GB2312" w:cs="Times New Roman"/>
          <w:sz w:val="36"/>
          <w:szCs w:val="36"/>
        </w:rPr>
      </w:pPr>
      <w:r>
        <w:rPr>
          <w:rFonts w:hint="eastAsia" w:ascii="仿宋_GB2312" w:hAnsi="等线" w:eastAsia="仿宋_GB2312" w:cs="Times New Roman"/>
          <w:sz w:val="36"/>
          <w:szCs w:val="36"/>
        </w:rPr>
        <w:t>一是创新分解问题方式。根据推诿问题的不同表现形式以及对应的主责部门，将81类综合问题细化拆分成480个具体事项，实现每个事项只对应一个责任部门，最大限度减少部门推诿的可能。比如，将住宅小区电动汽车充电桩管理问题，细化为“充电设施运营监管”“使用标准执行”“消防隐患排查”等5个具体情形，分别明确发改、市场监管、消防救援等责任部门，有效避免职责界定过于宽泛、不易执行的问题。二是创新界定职责方式。开展市县联合攻坚，每个县区专题研究1～2个重点领域的争议问题，按照“依法依规、职责就近、惯例沿用、有利有力”的原则，研究提出分工建议。市委编办统筹各县区和市直主管部门意见，以“两办”文件印发《重点领域职责分工清单》(以下简称《清单》),共明确市县部门职责分工1240条。比如中小学生校外托管服务机构监管问题，法律法规层面尚无明确规定，综合考虑该类机构性质和业务范围，按照“职责就近、便于管理”的原则，明确由教育部门牵头办理。三是创新压实责任方式。明确各类事项的办理流程和每个环节的主责部门，形成完整责任链条，确保执行落实情况“可追溯”。对于流程清晰的单一事项，明确衔接节点，按顺序“串联”办理；对于多部门共同管理的综合问题，实行一个部门牵头、多部门联动、分情形“并联”办理。比如，临沂市罗庄区某园区内部道路，既有反映道路过窄问题，也有反映机动车乱停乱放问题，以往单一部门处理的方式均未能有效回应群众诉求。通过建立市政道路管理的新型职责分工，城管、住建、交警、属地街道联合开展“交通微循环综合治理”，将优化园区管理与满足群众出行需求结合起来，得到群众一致好评。</w:t>
      </w:r>
    </w:p>
    <w:p w14:paraId="435B7E80">
      <w:pPr>
        <w:spacing w:line="640" w:lineRule="exact"/>
        <w:ind w:firstLine="720" w:firstLineChars="200"/>
        <w:rPr>
          <w:rFonts w:ascii="黑体" w:hAnsi="黑体" w:eastAsia="黑体" w:cs="Times New Roman"/>
          <w:sz w:val="36"/>
          <w:szCs w:val="36"/>
        </w:rPr>
      </w:pPr>
      <w:r>
        <w:rPr>
          <w:rFonts w:hint="eastAsia" w:ascii="黑体" w:hAnsi="黑体" w:eastAsia="黑体" w:cs="Times New Roman"/>
          <w:sz w:val="36"/>
          <w:szCs w:val="36"/>
        </w:rPr>
        <w:t>三、狠抓执行落实，管用结合促长效</w:t>
      </w:r>
    </w:p>
    <w:p w14:paraId="3E65759B">
      <w:pPr>
        <w:spacing w:line="640" w:lineRule="exact"/>
        <w:ind w:firstLine="720" w:firstLineChars="200"/>
        <w:rPr>
          <w:rFonts w:ascii="仿宋_GB2312" w:hAnsi="等线" w:eastAsia="仿宋_GB2312" w:cs="Times New Roman"/>
          <w:sz w:val="36"/>
          <w:szCs w:val="36"/>
        </w:rPr>
      </w:pPr>
      <w:r>
        <w:rPr>
          <w:rFonts w:hint="eastAsia" w:ascii="仿宋_GB2312" w:hAnsi="等线" w:eastAsia="仿宋_GB2312" w:cs="Times New Roman"/>
          <w:sz w:val="36"/>
          <w:szCs w:val="36"/>
        </w:rPr>
        <w:t>一是抓清单应用规范部门履职。把《清单》作为部门“三定”规定的细化延伸和重要补充，帮助部门单位准确把握职责，主动高效履职。《清单》应用以来，消费者维权、乡村违建、物业管理等领域的工单数量环比下降8～10个百分点。二是抓建章立制促进常态长效。建立《清单》动态调整机制，对出现的新情况、新问题，及时界定职责分工，纳入清单管理，每年集中更新完善。细化《山东省党政群机关部门职责分工协商协调办法(试行)》的落实措施，建立部门职责分工快速协调机制，对市领导签批、两办督查、12345高频热点诉求等事项，进一步压缩协调论证时限，快速响应、高效办理。三是抓跟踪问效推动责任落实。将职责分工落实情况纳入人大和政协监督、纪委监委监督检查内容，推动《清单》执行监督与全市12345热线“五级督办”体系有机融合，倒逼部门规范履职。比如，群众反映较多的预付消费问题，因涉及教育、文化、体育等多个领域，长期以来未得到有效管理。通过明确职责分工，市商务局联合市场监管、公安等部门单位，在全市零售、住宿餐饮、居民服务等3个问题突出领域开展联合整治，摸排企业822家，备案监管资金1.5亿元，预付消费市场秩序得到有效规范。</w:t>
      </w:r>
    </w:p>
    <w:p w14:paraId="6E720BC1">
      <w:pPr>
        <w:spacing w:line="640" w:lineRule="exact"/>
        <w:ind w:firstLine="720" w:firstLineChars="200"/>
        <w:rPr>
          <w:rFonts w:ascii="仿宋_GB2312" w:hAnsi="等线" w:eastAsia="仿宋_GB2312" w:cs="Times New Roman"/>
          <w:sz w:val="36"/>
          <w:szCs w:val="36"/>
        </w:rPr>
      </w:pPr>
      <w:r>
        <w:rPr>
          <w:rFonts w:hint="eastAsia" w:ascii="仿宋_GB2312" w:hAnsi="等线" w:eastAsia="仿宋_GB2312" w:cs="Times New Roman"/>
          <w:sz w:val="36"/>
          <w:szCs w:val="36"/>
        </w:rPr>
        <w:t>（摘自《</w:t>
      </w:r>
      <w:r>
        <w:rPr>
          <w:rFonts w:ascii="仿宋_GB2312" w:hAnsi="等线" w:eastAsia="仿宋_GB2312" w:cs="Times New Roman"/>
          <w:sz w:val="36"/>
          <w:szCs w:val="36"/>
        </w:rPr>
        <w:t>中国机构编制</w:t>
      </w:r>
      <w:r>
        <w:rPr>
          <w:rFonts w:hint="eastAsia" w:ascii="仿宋_GB2312" w:hAnsi="等线" w:eastAsia="仿宋_GB2312" w:cs="Times New Roman"/>
          <w:sz w:val="36"/>
          <w:szCs w:val="36"/>
        </w:rPr>
        <w:t>》202</w:t>
      </w:r>
      <w:r>
        <w:rPr>
          <w:rFonts w:ascii="仿宋_GB2312" w:hAnsi="等线" w:eastAsia="仿宋_GB2312" w:cs="Times New Roman"/>
          <w:sz w:val="36"/>
          <w:szCs w:val="36"/>
        </w:rPr>
        <w:t>4</w:t>
      </w:r>
      <w:r>
        <w:rPr>
          <w:rFonts w:hint="eastAsia" w:ascii="仿宋_GB2312" w:hAnsi="等线" w:eastAsia="仿宋_GB2312" w:cs="Times New Roman"/>
          <w:sz w:val="36"/>
          <w:szCs w:val="36"/>
        </w:rPr>
        <w:t>年</w:t>
      </w:r>
      <w:r>
        <w:rPr>
          <w:rFonts w:ascii="仿宋_GB2312" w:hAnsi="等线" w:eastAsia="仿宋_GB2312" w:cs="Times New Roman"/>
          <w:sz w:val="36"/>
          <w:szCs w:val="36"/>
        </w:rPr>
        <w:t>第1</w:t>
      </w:r>
      <w:r>
        <w:rPr>
          <w:rFonts w:hint="eastAsia" w:ascii="仿宋_GB2312" w:hAnsi="等线" w:eastAsia="仿宋_GB2312" w:cs="Times New Roman"/>
          <w:sz w:val="36"/>
          <w:szCs w:val="36"/>
        </w:rPr>
        <w:t>期）</w:t>
      </w:r>
    </w:p>
    <w:p w14:paraId="64741968">
      <w:pPr>
        <w:spacing w:line="640" w:lineRule="exact"/>
        <w:ind w:firstLine="720" w:firstLineChars="200"/>
        <w:rPr>
          <w:rFonts w:ascii="楷体" w:hAnsi="楷体" w:eastAsia="楷体" w:cs="楷体"/>
          <w:sz w:val="36"/>
          <w:szCs w:val="36"/>
        </w:rPr>
      </w:pPr>
    </w:p>
    <w:p w14:paraId="263AEAA5">
      <w:pPr>
        <w:spacing w:line="640" w:lineRule="exact"/>
        <w:ind w:firstLine="720" w:firstLineChars="200"/>
        <w:rPr>
          <w:rFonts w:ascii="楷体" w:hAnsi="楷体" w:eastAsia="楷体" w:cs="楷体"/>
          <w:sz w:val="36"/>
          <w:szCs w:val="36"/>
        </w:rPr>
      </w:pPr>
    </w:p>
    <w:p w14:paraId="58B76C67">
      <w:pPr>
        <w:spacing w:line="640" w:lineRule="exact"/>
        <w:jc w:val="center"/>
        <w:rPr>
          <w:rFonts w:ascii="方正小标宋简体" w:eastAsia="方正小标宋简体"/>
          <w:sz w:val="44"/>
          <w:szCs w:val="44"/>
        </w:rPr>
      </w:pPr>
      <w:r>
        <w:rPr>
          <w:rFonts w:hint="eastAsia" w:ascii="方正小标宋简体" w:eastAsia="方正小标宋简体"/>
          <w:sz w:val="44"/>
          <w:szCs w:val="44"/>
        </w:rPr>
        <w:t>聚焦实用数据赋能</w:t>
      </w:r>
    </w:p>
    <w:p w14:paraId="46DA866B">
      <w:pPr>
        <w:spacing w:line="640" w:lineRule="exact"/>
        <w:jc w:val="center"/>
        <w:rPr>
          <w:rFonts w:ascii="方正小标宋简体" w:eastAsia="方正小标宋简体"/>
          <w:sz w:val="44"/>
          <w:szCs w:val="44"/>
        </w:rPr>
      </w:pPr>
      <w:r>
        <w:rPr>
          <w:rFonts w:hint="eastAsia" w:ascii="方正小标宋简体" w:eastAsia="方正小标宋简体"/>
          <w:sz w:val="44"/>
          <w:szCs w:val="44"/>
        </w:rPr>
        <w:t>探索权责清单应用新路径</w:t>
      </w:r>
    </w:p>
    <w:p w14:paraId="3B391544">
      <w:pPr>
        <w:spacing w:line="640" w:lineRule="exact"/>
        <w:jc w:val="center"/>
        <w:rPr>
          <w:rFonts w:ascii="仿宋_GB2312" w:eastAsia="仿宋_GB2312"/>
          <w:sz w:val="36"/>
          <w:szCs w:val="36"/>
        </w:rPr>
      </w:pPr>
      <w:r>
        <w:rPr>
          <w:rFonts w:hint="eastAsia" w:ascii="仿宋_GB2312" w:hAnsi="等线" w:eastAsia="仿宋_GB2312" w:cs="Times New Roman"/>
          <w:kern w:val="0"/>
          <w:sz w:val="36"/>
          <w:szCs w:val="36"/>
        </w:rPr>
        <w:t>●</w:t>
      </w:r>
      <w:r>
        <w:rPr>
          <w:rFonts w:hint="eastAsia" w:ascii="仿宋_GB2312" w:eastAsia="仿宋_GB2312"/>
          <w:sz w:val="36"/>
          <w:szCs w:val="36"/>
        </w:rPr>
        <w:t>朱建华</w:t>
      </w:r>
    </w:p>
    <w:p w14:paraId="5F68BE79">
      <w:pPr>
        <w:spacing w:line="640" w:lineRule="exact"/>
        <w:ind w:firstLine="720" w:firstLineChars="200"/>
        <w:rPr>
          <w:rFonts w:ascii="仿宋_GB2312" w:eastAsia="仿宋_GB2312"/>
          <w:sz w:val="36"/>
          <w:szCs w:val="36"/>
        </w:rPr>
      </w:pPr>
      <w:r>
        <w:rPr>
          <w:rFonts w:hint="eastAsia" w:ascii="仿宋_GB2312" w:eastAsia="仿宋_GB2312"/>
          <w:sz w:val="36"/>
          <w:szCs w:val="36"/>
        </w:rPr>
        <w:t>2019年以来，山东省临沂市在完成政府部门权责清单编制工作的基础上，逐步建立起较为完善的清单制度体系。与此同时，清单如何使用、部门单位履职怎么评估等成为深化权责清单应用必须要破解的难题。临沂市委编办以中央编办“机构编制云平台”试点为契机，依托自主研发的机构编制监管平台，按照“多清单联动、颗粒化拆解、信息化赋能、多领域应用”的思路，将部门落实各类清单情况以“数字化”形式展现出来，把“看不见的监管”变为“看得见的数据”，推动权责清单执行情况可量化、可评估。目前已积累数据2.2亿余条，有效避免了清单“束之高阁”，探索出了清单应用新路径。</w:t>
      </w:r>
    </w:p>
    <w:p w14:paraId="6C643DE5">
      <w:pPr>
        <w:spacing w:line="640" w:lineRule="exact"/>
        <w:jc w:val="center"/>
        <w:rPr>
          <w:rFonts w:ascii="黑体" w:hAnsi="黑体" w:eastAsia="黑体"/>
          <w:sz w:val="36"/>
          <w:szCs w:val="36"/>
        </w:rPr>
      </w:pPr>
      <w:r>
        <w:rPr>
          <w:rFonts w:hint="eastAsia" w:ascii="黑体" w:hAnsi="黑体" w:eastAsia="黑体"/>
          <w:sz w:val="36"/>
          <w:szCs w:val="36"/>
        </w:rPr>
        <w:t>一、健全执行体系，</w:t>
      </w:r>
    </w:p>
    <w:p w14:paraId="1AD9FBCB">
      <w:pPr>
        <w:spacing w:line="640" w:lineRule="exact"/>
        <w:jc w:val="center"/>
        <w:rPr>
          <w:rFonts w:ascii="黑体" w:hAnsi="黑体" w:eastAsia="黑体"/>
          <w:sz w:val="36"/>
          <w:szCs w:val="36"/>
        </w:rPr>
      </w:pPr>
      <w:r>
        <w:rPr>
          <w:rFonts w:hint="eastAsia" w:ascii="黑体" w:hAnsi="黑体" w:eastAsia="黑体"/>
          <w:sz w:val="36"/>
          <w:szCs w:val="36"/>
        </w:rPr>
        <w:t>夯实权责清单应用的基础</w:t>
      </w:r>
    </w:p>
    <w:p w14:paraId="39AFD06C">
      <w:pPr>
        <w:spacing w:line="640" w:lineRule="exact"/>
        <w:ind w:firstLine="720" w:firstLineChars="200"/>
        <w:rPr>
          <w:rFonts w:ascii="仿宋_GB2312" w:eastAsia="仿宋_GB2312"/>
          <w:sz w:val="36"/>
          <w:szCs w:val="36"/>
        </w:rPr>
      </w:pPr>
      <w:r>
        <w:rPr>
          <w:rFonts w:hint="eastAsia" w:ascii="仿宋_GB2312" w:eastAsia="仿宋_GB2312"/>
          <w:sz w:val="36"/>
          <w:szCs w:val="36"/>
        </w:rPr>
        <w:t>以权责、职责任务、职责边界“三张清单”为统领，用分解细化的权责清单推动工作落实，实现人、岗位、职责“相匹配、相统一”。</w:t>
      </w:r>
    </w:p>
    <w:p w14:paraId="6B8D2B54">
      <w:pPr>
        <w:spacing w:line="640" w:lineRule="exact"/>
        <w:ind w:firstLine="723" w:firstLineChars="200"/>
        <w:rPr>
          <w:rFonts w:ascii="仿宋_GB2312" w:eastAsia="仿宋_GB2312"/>
          <w:sz w:val="36"/>
          <w:szCs w:val="36"/>
        </w:rPr>
      </w:pPr>
      <w:r>
        <w:rPr>
          <w:rFonts w:hint="eastAsia" w:ascii="楷体" w:hAnsi="楷体" w:eastAsia="楷体"/>
          <w:b/>
          <w:sz w:val="36"/>
          <w:szCs w:val="36"/>
        </w:rPr>
        <w:t>一是梳理编制权责清单，推动部门单位明权定责</w:t>
      </w:r>
      <w:r>
        <w:rPr>
          <w:rFonts w:hint="eastAsia" w:ascii="仿宋_GB2312" w:eastAsia="仿宋_GB2312"/>
          <w:sz w:val="36"/>
          <w:szCs w:val="36"/>
        </w:rPr>
        <w:t>。2019年以来，临沂市组织编制市县政府部门权责清单，市级共梳理公布行政权力事项4489项、公共服务事项275项、责任事项27611项，全面梳理部门职权，明晰权责事项，理顺层级权限。按照“谁编制谁调整”原则，对部门权责清单进行动态管理，市级共动态调整5833项，县区调整29243项，确保权责清单精准适用。</w:t>
      </w:r>
    </w:p>
    <w:p w14:paraId="0D2A565B">
      <w:pPr>
        <w:spacing w:line="640" w:lineRule="exact"/>
        <w:ind w:firstLine="723" w:firstLineChars="200"/>
        <w:rPr>
          <w:rFonts w:ascii="仿宋_GB2312" w:eastAsia="仿宋_GB2312"/>
          <w:sz w:val="36"/>
          <w:szCs w:val="36"/>
        </w:rPr>
      </w:pPr>
      <w:r>
        <w:rPr>
          <w:rFonts w:hint="eastAsia" w:ascii="楷体" w:hAnsi="楷体" w:eastAsia="楷体"/>
          <w:b/>
          <w:sz w:val="36"/>
          <w:szCs w:val="36"/>
        </w:rPr>
        <w:t>二是编制职责任务和边界清单，健全“三张清单”工作体系</w:t>
      </w:r>
      <w:r>
        <w:rPr>
          <w:rFonts w:hint="eastAsia" w:ascii="仿宋_GB2312" w:eastAsia="仿宋_GB2312"/>
          <w:sz w:val="36"/>
          <w:szCs w:val="36"/>
        </w:rPr>
        <w:t>。在编制权责清单的同时，梳理了市县各部门单位的其他39911项工作任务、岗位职责，编制了政府部门职责任务清单；为更好地解决部门间职责交叉、边界不清、推诿扯皮等问题，梳理了需要两个以上部门共同完成的1496项职责事项，编制了职责边界清单。在此基础上，构建了“权责清单管</w:t>
      </w:r>
      <w:r>
        <w:rPr>
          <w:rFonts w:ascii="仿宋_GB2312" w:eastAsia="仿宋_GB2312"/>
          <w:sz w:val="36"/>
          <w:szCs w:val="36"/>
        </w:rPr>
        <w:t>‘</w:t>
      </w:r>
      <w:r>
        <w:rPr>
          <w:rFonts w:hint="eastAsia" w:ascii="仿宋_GB2312" w:eastAsia="仿宋_GB2312"/>
          <w:sz w:val="36"/>
          <w:szCs w:val="36"/>
        </w:rPr>
        <w:t>外部’、职责任务清单管‘内部’、职责边界清单管‘协同’”的“三张清单”工作体系，有效推动工作职责环环相扣、职能运行内外协同。</w:t>
      </w:r>
    </w:p>
    <w:p w14:paraId="28A3D175">
      <w:pPr>
        <w:spacing w:line="640" w:lineRule="exact"/>
        <w:ind w:firstLine="723" w:firstLineChars="200"/>
        <w:rPr>
          <w:rFonts w:ascii="仿宋_GB2312" w:eastAsia="仿宋_GB2312"/>
          <w:sz w:val="36"/>
          <w:szCs w:val="36"/>
        </w:rPr>
      </w:pPr>
      <w:r>
        <w:rPr>
          <w:rFonts w:hint="eastAsia" w:ascii="楷体" w:hAnsi="楷体" w:eastAsia="楷体"/>
          <w:b/>
          <w:sz w:val="36"/>
          <w:szCs w:val="36"/>
        </w:rPr>
        <w:t>三是实行颗粒化拆分，职责落实到岗到人</w:t>
      </w:r>
      <w:r>
        <w:rPr>
          <w:rFonts w:hint="eastAsia" w:ascii="仿宋_GB2312" w:eastAsia="仿宋_GB2312"/>
          <w:sz w:val="36"/>
          <w:szCs w:val="36"/>
        </w:rPr>
        <w:t>。为推动“三张清单”易于操作、方便量化，将清单逐条拆分为若干工作任务，具体落实到各个科室和岗位，为清单细化应用打牢了基础。比如，以权责清单为基础，行政审批服务部门按照加强政务服务管理、促进“一次办好”等工作要求，进一步梳理行政许可、公共服务等事项，实现了298项事项“全省通办”、626项事项“全市通办”。</w:t>
      </w:r>
    </w:p>
    <w:p w14:paraId="67FF2304">
      <w:pPr>
        <w:spacing w:line="640" w:lineRule="exact"/>
        <w:jc w:val="center"/>
        <w:rPr>
          <w:rFonts w:ascii="黑体" w:hAnsi="黑体" w:eastAsia="黑体"/>
          <w:sz w:val="36"/>
          <w:szCs w:val="36"/>
        </w:rPr>
      </w:pPr>
      <w:r>
        <w:rPr>
          <w:rFonts w:hint="eastAsia" w:ascii="黑体" w:hAnsi="黑体" w:eastAsia="黑体"/>
          <w:sz w:val="36"/>
          <w:szCs w:val="36"/>
        </w:rPr>
        <w:t>二、实行数据赋能，</w:t>
      </w:r>
    </w:p>
    <w:p w14:paraId="3A80E5B6">
      <w:pPr>
        <w:spacing w:line="640" w:lineRule="exact"/>
        <w:jc w:val="center"/>
        <w:rPr>
          <w:rFonts w:ascii="黑体" w:hAnsi="黑体" w:eastAsia="黑体"/>
          <w:sz w:val="36"/>
          <w:szCs w:val="36"/>
        </w:rPr>
      </w:pPr>
      <w:r>
        <w:rPr>
          <w:rFonts w:hint="eastAsia" w:ascii="黑体" w:hAnsi="黑体" w:eastAsia="黑体"/>
          <w:sz w:val="36"/>
          <w:szCs w:val="36"/>
        </w:rPr>
        <w:t>清单深度用于职能履行情况评估</w:t>
      </w:r>
    </w:p>
    <w:p w14:paraId="7020D3C2">
      <w:pPr>
        <w:spacing w:line="640" w:lineRule="exact"/>
        <w:ind w:firstLine="720" w:firstLineChars="200"/>
        <w:rPr>
          <w:rFonts w:ascii="仿宋_GB2312" w:eastAsia="仿宋_GB2312"/>
          <w:sz w:val="36"/>
          <w:szCs w:val="36"/>
        </w:rPr>
      </w:pPr>
      <w:r>
        <w:rPr>
          <w:rFonts w:hint="eastAsia" w:ascii="仿宋_GB2312" w:eastAsia="仿宋_GB2312"/>
          <w:sz w:val="36"/>
          <w:szCs w:val="36"/>
        </w:rPr>
        <w:t>坚持以点带面，通过数字化的方式将权责清单运用到职能运行监管领域，打通“数据壁垒”，带动实现履职评估、专项监管等“有章可循”。</w:t>
      </w:r>
    </w:p>
    <w:p w14:paraId="3C7027AB">
      <w:pPr>
        <w:spacing w:line="640" w:lineRule="exact"/>
        <w:ind w:firstLine="723" w:firstLineChars="200"/>
        <w:rPr>
          <w:rFonts w:ascii="仿宋_GB2312" w:eastAsia="仿宋_GB2312"/>
          <w:sz w:val="36"/>
          <w:szCs w:val="36"/>
        </w:rPr>
      </w:pPr>
      <w:r>
        <w:rPr>
          <w:rFonts w:hint="eastAsia" w:ascii="楷体" w:hAnsi="楷体" w:eastAsia="楷体"/>
          <w:b/>
          <w:sz w:val="36"/>
          <w:szCs w:val="36"/>
        </w:rPr>
        <w:t>一是权责清单和职能运行监管有机</w:t>
      </w:r>
      <w:r>
        <w:rPr>
          <w:rFonts w:hint="eastAsia" w:ascii="楷体" w:hAnsi="楷体" w:eastAsia="楷体"/>
          <w:b/>
          <w:sz w:val="36"/>
          <w:szCs w:val="36"/>
          <w:lang w:eastAsia="zh-CN"/>
        </w:rPr>
        <w:t>衔</w:t>
      </w:r>
      <w:bookmarkStart w:id="0" w:name="_GoBack"/>
      <w:bookmarkEnd w:id="0"/>
      <w:r>
        <w:rPr>
          <w:rFonts w:hint="eastAsia" w:ascii="楷体" w:hAnsi="楷体" w:eastAsia="楷体"/>
          <w:b/>
          <w:sz w:val="36"/>
          <w:szCs w:val="36"/>
        </w:rPr>
        <w:t>接</w:t>
      </w:r>
      <w:r>
        <w:rPr>
          <w:rFonts w:hint="eastAsia" w:ascii="仿宋_GB2312" w:eastAsia="仿宋_GB2312"/>
          <w:sz w:val="36"/>
          <w:szCs w:val="36"/>
        </w:rPr>
        <w:t>。近年来，临沂市创新打造机构编制监管平台，将市县乡三级的机关事业单位人员全部纳入管理。以此为基础，将拆解后的工作事项、编码、工作环节等录入平台，与科室和个人相关联，以每名在编人员为“数据源”，采集日常工作中清单事项的执行数量、频次、工作时长等情况，一方面能掌握清单的应用情况，另一方面对部门单位和个人履职情况进行“数据画像”。同时，对工作流程中的短板弱项进行分析，对“有责不履、履责不实”等问题进行督导，实现了权责清单和职能运行监管有机衔接，打通了清单应用的“最后一公里”。</w:t>
      </w:r>
    </w:p>
    <w:p w14:paraId="5B090D78">
      <w:pPr>
        <w:spacing w:line="640" w:lineRule="exact"/>
        <w:ind w:firstLine="723" w:firstLineChars="200"/>
        <w:rPr>
          <w:rFonts w:ascii="仿宋_GB2312" w:eastAsia="仿宋_GB2312"/>
          <w:sz w:val="36"/>
          <w:szCs w:val="36"/>
        </w:rPr>
      </w:pPr>
      <w:r>
        <w:rPr>
          <w:rFonts w:hint="eastAsia" w:ascii="楷体" w:hAnsi="楷体" w:eastAsia="楷体"/>
          <w:b/>
          <w:sz w:val="36"/>
          <w:szCs w:val="36"/>
        </w:rPr>
        <w:t>二是多维度采集履职信息</w:t>
      </w:r>
      <w:r>
        <w:rPr>
          <w:rFonts w:hint="eastAsia" w:ascii="仿宋_GB2312" w:eastAsia="仿宋_GB2312"/>
          <w:sz w:val="36"/>
          <w:szCs w:val="36"/>
        </w:rPr>
        <w:t>。在采集对象上，覆盖各个层级、各个部门，具体到科室和岗位，确保履职情况纪实全面完整。在采集广度上，覆盖“三张清单”涉及的每项职责和拆分的每项任务，防止有责不履、选择性执行。在采集方式上，实行智能抓取为主、日常补填为辅，将平台与协同办公系统、审管联动平台数据共享，自动抓取公文流转、业务办理等情况；个人按照岗位职责，对不能自动抓取的数据，进行补填。同时，实行履职审阅、随机抽查和客观印证，最大限度保证基础数据客观性，构建了全面、连续的履职“电子档案库”。</w:t>
      </w:r>
    </w:p>
    <w:p w14:paraId="6927D791">
      <w:pPr>
        <w:spacing w:line="640" w:lineRule="exact"/>
        <w:ind w:firstLine="723" w:firstLineChars="200"/>
        <w:rPr>
          <w:rFonts w:ascii="仿宋_GB2312" w:eastAsia="仿宋_GB2312"/>
          <w:sz w:val="36"/>
          <w:szCs w:val="36"/>
        </w:rPr>
      </w:pPr>
      <w:r>
        <w:rPr>
          <w:rFonts w:hint="eastAsia" w:ascii="楷体" w:hAnsi="楷体" w:eastAsia="楷体"/>
          <w:b/>
          <w:sz w:val="36"/>
          <w:szCs w:val="36"/>
        </w:rPr>
        <w:t>三是多层面分析数据</w:t>
      </w:r>
      <w:r>
        <w:rPr>
          <w:rFonts w:hint="eastAsia" w:ascii="仿宋_GB2312" w:eastAsia="仿宋_GB2312"/>
          <w:sz w:val="36"/>
          <w:szCs w:val="36"/>
        </w:rPr>
        <w:t>。围绕职责履行的评价标准，设置人员在岗情况、工作量比率、职责履行率、工作分类占比等分析指标，平台可自动生成履职分析报告和图表，直观展示每个部门、科室、人员的职责展行情况。从部门层面，可反映权责清单各项任务是否履行到位。比如，通过“职责履行率”指标，可具体监测要些职责执行频率高，哪些职</w:t>
      </w:r>
      <w:r>
        <w:rPr>
          <w:rFonts w:hint="eastAsia" w:ascii="仿宋_GB2312" w:hAnsi="仿宋_GB2312" w:eastAsia="仿宋_GB2312" w:cs="仿宋_GB2312"/>
          <w:sz w:val="36"/>
          <w:szCs w:val="36"/>
        </w:rPr>
        <w:t>责未履行，是否存在“选择性履职”等问题。从科室层面，可直观反映履职尽责、协作配合等运行情况。比如，通过“人均工作量”</w:t>
      </w:r>
      <w:r>
        <w:rPr>
          <w:rFonts w:hint="eastAsia" w:ascii="仿宋_GB2312" w:eastAsia="仿宋_GB2312"/>
          <w:sz w:val="36"/>
          <w:szCs w:val="36"/>
        </w:rPr>
        <w:t>“工作分类占比”指标，对岗位平均工作时长和聚焦主责主业情况进行比对分析，精准定位哪个科室力量相对不足，哪些业务工作存在弱化，为机构编制事项调整、人员优化配置等提供依据。从个人层面，动态监测任务目标完成情况、工作进展情况，实现人员精准动态管理。</w:t>
      </w:r>
    </w:p>
    <w:p w14:paraId="270B88C6">
      <w:pPr>
        <w:spacing w:line="640" w:lineRule="exact"/>
        <w:ind w:firstLine="723" w:firstLineChars="200"/>
        <w:rPr>
          <w:rFonts w:ascii="仿宋_GB2312" w:eastAsia="仿宋_GB2312"/>
          <w:sz w:val="36"/>
          <w:szCs w:val="36"/>
        </w:rPr>
      </w:pPr>
      <w:r>
        <w:rPr>
          <w:rFonts w:hint="eastAsia" w:ascii="楷体" w:hAnsi="楷体" w:eastAsia="楷体"/>
          <w:b/>
          <w:sz w:val="36"/>
          <w:szCs w:val="36"/>
        </w:rPr>
        <w:t>四是探索开展专项监管</w:t>
      </w:r>
      <w:r>
        <w:rPr>
          <w:rFonts w:hint="eastAsia" w:ascii="仿宋_GB2312" w:eastAsia="仿宋_GB2312"/>
          <w:sz w:val="36"/>
          <w:szCs w:val="36"/>
        </w:rPr>
        <w:t>。在对部门全面监管的基础上，根据工作需要，探索开展专项监管。比如，聚焦部分议事协调机构“重设立轻监管”、作用发挥不明显等问题，对各类议事协调机构进行专项监管，对成员单位承担的相应职责进行“履职画像”，作为议事协调机构清理、调整、规范的重要参考。2022年对市级议事协调机构及工作专班逐一研究论证，撤并整合167个，精减比例47.5%。</w:t>
      </w:r>
    </w:p>
    <w:p w14:paraId="2E3A8AF2">
      <w:pPr>
        <w:spacing w:line="640" w:lineRule="exact"/>
        <w:jc w:val="center"/>
        <w:rPr>
          <w:rFonts w:ascii="黑体" w:hAnsi="黑体" w:eastAsia="黑体"/>
          <w:sz w:val="36"/>
          <w:szCs w:val="36"/>
        </w:rPr>
      </w:pPr>
      <w:r>
        <w:rPr>
          <w:rFonts w:hint="eastAsia" w:ascii="黑体" w:hAnsi="黑体" w:eastAsia="黑体"/>
          <w:sz w:val="36"/>
          <w:szCs w:val="36"/>
        </w:rPr>
        <w:t>三、多领域拓展应用，</w:t>
      </w:r>
    </w:p>
    <w:p w14:paraId="5B968626">
      <w:pPr>
        <w:spacing w:line="640" w:lineRule="exact"/>
        <w:jc w:val="center"/>
        <w:rPr>
          <w:rFonts w:ascii="黑体" w:hAnsi="黑体" w:eastAsia="黑体"/>
          <w:sz w:val="36"/>
          <w:szCs w:val="36"/>
        </w:rPr>
      </w:pPr>
      <w:r>
        <w:rPr>
          <w:rFonts w:hint="eastAsia" w:ascii="黑体" w:hAnsi="黑体" w:eastAsia="黑体"/>
          <w:sz w:val="36"/>
          <w:szCs w:val="36"/>
        </w:rPr>
        <w:t>助力机构编制工作全面提升</w:t>
      </w:r>
    </w:p>
    <w:p w14:paraId="045D957A">
      <w:pPr>
        <w:spacing w:line="640" w:lineRule="exact"/>
        <w:ind w:firstLine="720" w:firstLineChars="200"/>
        <w:rPr>
          <w:rFonts w:ascii="仿宋_GB2312" w:eastAsia="仿宋_GB2312"/>
          <w:sz w:val="36"/>
          <w:szCs w:val="36"/>
        </w:rPr>
      </w:pPr>
      <w:r>
        <w:rPr>
          <w:rFonts w:hint="eastAsia" w:ascii="仿宋_GB2312" w:eastAsia="仿宋_GB2312"/>
          <w:sz w:val="36"/>
          <w:szCs w:val="36"/>
        </w:rPr>
        <w:t>坚持整体联动，将权责清单落实情况作为推进机构改革、优化编制资源配置、开展考核评估的重要依据，充分发挥数据赋能服务机构编制高质量发展的作用。</w:t>
      </w:r>
    </w:p>
    <w:p w14:paraId="4C266835">
      <w:pPr>
        <w:spacing w:line="640" w:lineRule="exact"/>
        <w:ind w:firstLine="723" w:firstLineChars="200"/>
        <w:rPr>
          <w:rFonts w:ascii="仿宋_GB2312" w:eastAsia="仿宋_GB2312"/>
          <w:sz w:val="36"/>
          <w:szCs w:val="36"/>
        </w:rPr>
      </w:pPr>
      <w:r>
        <w:rPr>
          <w:rFonts w:hint="eastAsia" w:ascii="楷体" w:hAnsi="楷体" w:eastAsia="楷体"/>
          <w:b/>
          <w:sz w:val="36"/>
          <w:szCs w:val="36"/>
        </w:rPr>
        <w:t>一是助力机构改革精准高效</w:t>
      </w:r>
      <w:r>
        <w:rPr>
          <w:rFonts w:hint="eastAsia" w:ascii="仿宋_GB2312" w:eastAsia="仿宋_GB2312"/>
          <w:sz w:val="36"/>
          <w:szCs w:val="36"/>
        </w:rPr>
        <w:t>。把部门职能运行情况作为体制机制优化调整的重要依据，依托大数据分析情况定框架、设机构、核编制，促进了改革精准高效。比如，在党政机构改革中，利用平台数据分析结果，精准确定了涉改人员，全市共转隶在职人员1万余名，其中市直公务员转隶占近1/4,实现了“稳、准、快”。在深化事业单位改革试点中，运用平台对市级200余个单位1100余个内设机构进行数据分析，对46个未实际配备人员、职能萎缩的内设机构予以撤销，对53个工作任务重、超负荷运行的内设机构调整分设，市直精简事业单位49%,县区精简44.3%。</w:t>
      </w:r>
    </w:p>
    <w:p w14:paraId="6B804AFF">
      <w:pPr>
        <w:spacing w:line="640" w:lineRule="exact"/>
        <w:ind w:firstLine="723" w:firstLineChars="200"/>
        <w:rPr>
          <w:rFonts w:ascii="仿宋_GB2312" w:eastAsia="仿宋_GB2312"/>
          <w:sz w:val="36"/>
          <w:szCs w:val="36"/>
        </w:rPr>
      </w:pPr>
      <w:r>
        <w:rPr>
          <w:rFonts w:hint="eastAsia" w:ascii="楷体" w:hAnsi="楷体" w:eastAsia="楷体"/>
          <w:b/>
          <w:sz w:val="36"/>
          <w:szCs w:val="36"/>
        </w:rPr>
        <w:t>二是助力编制增减有据可依</w:t>
      </w:r>
      <w:r>
        <w:rPr>
          <w:rFonts w:hint="eastAsia" w:ascii="仿宋_GB2312" w:eastAsia="仿宋_GB2312"/>
          <w:sz w:val="36"/>
          <w:szCs w:val="36"/>
        </w:rPr>
        <w:t>。将数据分析运用到机构编制动议、论证、审议决定、组织实施全过程，精准投放机构编制资源，提高了论证决策的客观性和公信力，有效减少机构编制增减“讨价还价”现象。比如，通过履职分析，发现市市场监管局商城分局存在职责交叉、运行机制不顺等情况，及时撤销机构，将34名行政编制统筹用于外商投资管理、执法督查、优化营商环境等工作。再如，针对市政务服务中心提出的增编需求，履职数据显示，该单位工作量比率超过110%,处于超负荷运行状态，经调研论证后，及时核准增加事业编制18名。</w:t>
      </w:r>
    </w:p>
    <w:p w14:paraId="41A41242">
      <w:pPr>
        <w:spacing w:line="640" w:lineRule="exact"/>
        <w:ind w:firstLine="723" w:firstLineChars="200"/>
        <w:rPr>
          <w:rFonts w:ascii="仿宋_GB2312" w:eastAsia="仿宋_GB2312"/>
          <w:sz w:val="36"/>
          <w:szCs w:val="36"/>
        </w:rPr>
      </w:pPr>
      <w:r>
        <w:rPr>
          <w:rFonts w:hint="eastAsia" w:ascii="楷体" w:hAnsi="楷体" w:eastAsia="楷体"/>
          <w:b/>
          <w:sz w:val="36"/>
          <w:szCs w:val="36"/>
        </w:rPr>
        <w:t>三是助力教师资源优化配置</w:t>
      </w:r>
      <w:r>
        <w:rPr>
          <w:rFonts w:hint="eastAsia" w:ascii="仿宋_GB2312" w:eastAsia="仿宋_GB2312"/>
          <w:sz w:val="36"/>
          <w:szCs w:val="36"/>
        </w:rPr>
        <w:t>。通过平台精准分析师生比、任课教师占比、课时量等情况，实现教师队伍履职情况实时监测。在全市开展的中小学教师资源统筹工作中，对各级中小学教师需求情况等进行核算，并结合公安、教育部门提供的出生人口数、教师达标要求等，综合测算拟订2022-2035年中小学教师用编中长期规划，并作为跨学段、跨学校、跨县区统筹教师资源的重要参考。</w:t>
      </w:r>
    </w:p>
    <w:p w14:paraId="3117B1F0">
      <w:pPr>
        <w:spacing w:line="640" w:lineRule="exact"/>
        <w:ind w:firstLine="723" w:firstLineChars="200"/>
        <w:rPr>
          <w:rFonts w:ascii="仿宋_GB2312" w:eastAsia="仿宋_GB2312"/>
          <w:sz w:val="36"/>
          <w:szCs w:val="36"/>
        </w:rPr>
      </w:pPr>
      <w:r>
        <w:rPr>
          <w:rFonts w:hint="eastAsia" w:ascii="楷体" w:hAnsi="楷体" w:eastAsia="楷体"/>
          <w:b/>
          <w:sz w:val="36"/>
          <w:szCs w:val="36"/>
        </w:rPr>
        <w:t>四是助力考核评估效能提升</w:t>
      </w:r>
      <w:r>
        <w:rPr>
          <w:rFonts w:hint="eastAsia" w:ascii="仿宋_GB2312" w:eastAsia="仿宋_GB2312"/>
          <w:sz w:val="36"/>
          <w:szCs w:val="36"/>
        </w:rPr>
        <w:t>。将机构编制监管平台数据分析情况，作为机构编制评估、机关事业单位绩效考核、公务员考核的重要参考，将“集中一次考”变为“系统全程考”。比如，2021年以来，临沂市作为机构编制执行情况和使用效益评估试点，通过平台开展“跨层级、跨领域”评估，19 项评估指标通过平台直接调取，需提报的纸质材料减少30%,促进了精准高效。再如，在公务员日常考核方面，依托平台在线设置考核指标、开展民主评议，并综合工作时长、职责履行率各类数据，立体化评价干部日常表现，有效提升了考核精准度和公信力。从日常了解情况看，平时考核评为优秀的干部，履职数据往往比较饱满，进一步印证了线上考核的客观精准。</w:t>
      </w:r>
    </w:p>
    <w:p w14:paraId="24519F65">
      <w:pPr>
        <w:spacing w:line="640" w:lineRule="exact"/>
        <w:ind w:firstLine="720" w:firstLineChars="200"/>
        <w:rPr>
          <w:rFonts w:ascii="楷体" w:hAnsi="楷体" w:eastAsia="楷体" w:cs="Times New Roman"/>
          <w:b/>
          <w:sz w:val="36"/>
          <w:szCs w:val="36"/>
        </w:rPr>
      </w:pPr>
      <w:r>
        <w:rPr>
          <w:rFonts w:hint="eastAsia" w:ascii="仿宋_GB2312" w:eastAsia="仿宋_GB2312"/>
          <w:sz w:val="36"/>
          <w:szCs w:val="36"/>
        </w:rPr>
        <w:t>(作者系临沂市委编办主任)</w:t>
      </w:r>
    </w:p>
    <w:p w14:paraId="743A99C5">
      <w:pPr>
        <w:spacing w:line="640" w:lineRule="exact"/>
        <w:ind w:firstLine="720" w:firstLineChars="200"/>
        <w:rPr>
          <w:rFonts w:ascii="楷体" w:hAnsi="楷体" w:eastAsia="楷体" w:cs="Times New Roman"/>
          <w:b/>
          <w:sz w:val="36"/>
          <w:szCs w:val="36"/>
        </w:rPr>
      </w:pPr>
      <w:r>
        <w:rPr>
          <w:rFonts w:hint="eastAsia" w:ascii="仿宋_GB2312" w:hAnsi="等线" w:eastAsia="仿宋_GB2312" w:cs="Times New Roman"/>
          <w:sz w:val="36"/>
          <w:szCs w:val="36"/>
        </w:rPr>
        <w:t>（摘自《</w:t>
      </w:r>
      <w:r>
        <w:rPr>
          <w:rFonts w:ascii="仿宋_GB2312" w:hAnsi="等线" w:eastAsia="仿宋_GB2312" w:cs="Times New Roman"/>
          <w:sz w:val="36"/>
          <w:szCs w:val="36"/>
        </w:rPr>
        <w:t>中国机构编制</w:t>
      </w:r>
      <w:r>
        <w:rPr>
          <w:rFonts w:hint="eastAsia" w:ascii="仿宋_GB2312" w:hAnsi="等线" w:eastAsia="仿宋_GB2312" w:cs="Times New Roman"/>
          <w:sz w:val="36"/>
          <w:szCs w:val="36"/>
        </w:rPr>
        <w:t>》202</w:t>
      </w:r>
      <w:r>
        <w:rPr>
          <w:rFonts w:ascii="仿宋_GB2312" w:hAnsi="等线" w:eastAsia="仿宋_GB2312" w:cs="Times New Roman"/>
          <w:sz w:val="36"/>
          <w:szCs w:val="36"/>
        </w:rPr>
        <w:t>3</w:t>
      </w:r>
      <w:r>
        <w:rPr>
          <w:rFonts w:hint="eastAsia" w:ascii="仿宋_GB2312" w:hAnsi="等线" w:eastAsia="仿宋_GB2312" w:cs="Times New Roman"/>
          <w:sz w:val="36"/>
          <w:szCs w:val="36"/>
        </w:rPr>
        <w:t>年</w:t>
      </w:r>
      <w:r>
        <w:rPr>
          <w:rFonts w:ascii="仿宋_GB2312" w:hAnsi="等线" w:eastAsia="仿宋_GB2312" w:cs="Times New Roman"/>
          <w:sz w:val="36"/>
          <w:szCs w:val="36"/>
        </w:rPr>
        <w:t>第7</w:t>
      </w:r>
      <w:r>
        <w:rPr>
          <w:rFonts w:hint="eastAsia" w:ascii="仿宋_GB2312" w:hAnsi="等线" w:eastAsia="仿宋_GB2312" w:cs="Times New Roman"/>
          <w:sz w:val="36"/>
          <w:szCs w:val="36"/>
        </w:rPr>
        <w:t>期）</w:t>
      </w:r>
    </w:p>
    <w:p w14:paraId="056D5015">
      <w:pPr>
        <w:pStyle w:val="2"/>
        <w:rPr>
          <w:rFonts w:hint="eastAsia"/>
          <w:lang w:eastAsia="zh-CN"/>
        </w:rPr>
        <w:sectPr>
          <w:headerReference r:id="rId6" w:type="default"/>
          <w:footerReference r:id="rId7" w:type="default"/>
          <w:pgSz w:w="11906" w:h="16838"/>
          <w:pgMar w:top="1701" w:right="1587" w:bottom="1587" w:left="1587" w:header="851" w:footer="992" w:gutter="0"/>
          <w:pgNumType w:start="1"/>
          <w:cols w:space="720" w:num="1"/>
          <w:docGrid w:type="lines" w:linePitch="312" w:charSpace="0"/>
        </w:sectPr>
      </w:pPr>
    </w:p>
    <w:p w14:paraId="34D4101E">
      <w:pPr>
        <w:spacing w:line="640" w:lineRule="exact"/>
        <w:jc w:val="center"/>
        <w:rPr>
          <w:rFonts w:ascii="方正小标宋简体" w:eastAsia="方正小标宋简体"/>
          <w:sz w:val="44"/>
          <w:szCs w:val="44"/>
        </w:rPr>
      </w:pPr>
      <w:r>
        <w:rPr>
          <w:rFonts w:hint="eastAsia" w:ascii="方正小标宋简体" w:eastAsia="方正小标宋简体"/>
          <w:sz w:val="44"/>
          <w:szCs w:val="44"/>
        </w:rPr>
        <w:t>构建乡镇(街道)岗位化运行机制的</w:t>
      </w:r>
    </w:p>
    <w:p w14:paraId="015F402A">
      <w:pPr>
        <w:spacing w:line="640" w:lineRule="exact"/>
        <w:jc w:val="center"/>
        <w:rPr>
          <w:rFonts w:ascii="方正小标宋简体" w:eastAsia="方正小标宋简体"/>
          <w:sz w:val="44"/>
          <w:szCs w:val="44"/>
        </w:rPr>
      </w:pPr>
      <w:r>
        <w:rPr>
          <w:rFonts w:hint="eastAsia" w:ascii="方正小标宋简体" w:eastAsia="方正小标宋简体"/>
          <w:sz w:val="44"/>
          <w:szCs w:val="44"/>
        </w:rPr>
        <w:t>探索与实践</w:t>
      </w:r>
    </w:p>
    <w:p w14:paraId="63064F8B">
      <w:pPr>
        <w:spacing w:line="640" w:lineRule="exact"/>
        <w:jc w:val="center"/>
        <w:rPr>
          <w:rFonts w:ascii="仿宋_GB2312" w:eastAsia="仿宋_GB2312"/>
          <w:sz w:val="36"/>
          <w:szCs w:val="36"/>
        </w:rPr>
      </w:pPr>
      <w:r>
        <w:rPr>
          <w:rFonts w:hint="eastAsia" w:ascii="仿宋_GB2312" w:eastAsia="仿宋_GB2312"/>
          <w:sz w:val="36"/>
          <w:szCs w:val="36"/>
        </w:rPr>
        <w:t>●浙江省委编办</w:t>
      </w:r>
    </w:p>
    <w:p w14:paraId="2C578EC1">
      <w:pPr>
        <w:spacing w:line="640" w:lineRule="exact"/>
        <w:ind w:firstLine="720" w:firstLineChars="200"/>
        <w:rPr>
          <w:rFonts w:ascii="仿宋_GB2312" w:eastAsia="仿宋_GB2312"/>
          <w:sz w:val="36"/>
          <w:szCs w:val="36"/>
        </w:rPr>
      </w:pPr>
      <w:r>
        <w:rPr>
          <w:rFonts w:hint="eastAsia" w:ascii="仿宋_GB2312" w:eastAsia="仿宋_GB2312"/>
          <w:sz w:val="36"/>
          <w:szCs w:val="36"/>
        </w:rPr>
        <w:t>近年来，浙江省认真贯彻落实党中央关于推进基层治理体系和治理能力现代化建设的决策部署，坚持问题导向、效果导向，持续深化基层治理改革。当前，在人员编制总量严控的背景下，如何有效提高编制使用效益，解决基层人浮于事、忙闲不均、职责不明等问题，浙江从岗位入手，细化岗位管理，构建乡镇(街道)岗位化运行机制，推动资源优化组合，实现乡镇(街道)“编、人、事、能、效”全周期管理。</w:t>
      </w:r>
    </w:p>
    <w:p w14:paraId="279C94FB">
      <w:pPr>
        <w:spacing w:line="640" w:lineRule="exact"/>
        <w:jc w:val="center"/>
        <w:rPr>
          <w:rFonts w:ascii="黑体" w:hAnsi="黑体" w:eastAsia="黑体"/>
          <w:sz w:val="36"/>
          <w:szCs w:val="36"/>
        </w:rPr>
      </w:pPr>
      <w:r>
        <w:rPr>
          <w:rFonts w:hint="eastAsia" w:ascii="黑体" w:hAnsi="黑体" w:eastAsia="黑体"/>
          <w:sz w:val="36"/>
          <w:szCs w:val="36"/>
        </w:rPr>
        <w:t>一、主要探索</w:t>
      </w:r>
    </w:p>
    <w:p w14:paraId="3F9268BD">
      <w:pPr>
        <w:spacing w:line="640" w:lineRule="exact"/>
        <w:ind w:firstLine="720" w:firstLineChars="200"/>
        <w:rPr>
          <w:rFonts w:ascii="仿宋_GB2312" w:eastAsia="仿宋_GB2312"/>
          <w:sz w:val="36"/>
          <w:szCs w:val="36"/>
        </w:rPr>
      </w:pPr>
      <w:r>
        <w:rPr>
          <w:rFonts w:hint="eastAsia" w:ascii="仿宋_GB2312" w:eastAsia="仿宋_GB2312"/>
          <w:sz w:val="36"/>
          <w:szCs w:val="36"/>
        </w:rPr>
        <w:t>2023年初，浙江省委组织部、省委编办联合印发了《关于开展乡镇(街道)岗位管理试点的通知》，选取杭州市拱墅区、缙云县等8个不同类型县(市、区)开展试点，通过设岗明责、岗位画像、双向选岗、履职培训、考评激励、政策赋能等举措，持续完善基层管理体制和运行机制。</w:t>
      </w:r>
    </w:p>
    <w:p w14:paraId="73D80714">
      <w:pPr>
        <w:spacing w:line="640" w:lineRule="exact"/>
        <w:ind w:firstLine="723" w:firstLineChars="200"/>
        <w:rPr>
          <w:rFonts w:ascii="仿宋_GB2312" w:eastAsia="仿宋_GB2312"/>
          <w:sz w:val="36"/>
          <w:szCs w:val="36"/>
        </w:rPr>
      </w:pPr>
      <w:r>
        <w:rPr>
          <w:rFonts w:hint="eastAsia" w:ascii="楷体" w:hAnsi="楷体" w:eastAsia="楷体"/>
          <w:b/>
          <w:sz w:val="36"/>
          <w:szCs w:val="36"/>
        </w:rPr>
        <w:t>(一)设岗明责，全面承接乡镇核心职能</w:t>
      </w:r>
      <w:r>
        <w:rPr>
          <w:rFonts w:hint="eastAsia" w:ascii="仿宋_GB2312" w:eastAsia="仿宋_GB2312"/>
          <w:sz w:val="36"/>
          <w:szCs w:val="36"/>
        </w:rPr>
        <w:t>。乡镇(街道)是国家治理的基础单元，也是抓落实的“最后一公里”。通过合理设置岗位，明晰职责任务，促进统筹兼顾、突出重点、协同高效，让乡镇(街道)事事有人干、人人有事干。一是科学设置工作岗位。根据乡镇(街道)职能和履职实际，由县级统一编制乡镇(街道)岗位设置参考目录，明确岗位名称。乡镇(街道)根据自身功能定位、发展重点和阶段性任务，结合人员编制体量，编制形成符合本地实际的岗位清单。一般乡镇(街道)岗位设置在70～100个之间。二是理清岗位职责。立足条线任务落地、岗位本职、民呼我为等方面，依据乡镇(街道)“三定”规定、权责事项清单、“属地管理”事项责任清单、政务服务事项清单等内容，全口径梳理乡镇(街道)职责任务、具体工作事项，按照合适颗粒度、工作量合理分配至各个岗位，形成规范明晰的岗位职责。三是强化重点任务保障。发挥岗位基本作战单元作用，全面承接重点任务落实落地。一项工作涉及多个岗位的，明确牵头和协同职责，确保职责明晰、分工合理。比如，湖州市南浔区练市镇设置“长三角亲子文旅岗”岗位，配套建立招商引资、项目推进、文化旅游岗位间协作机制，高效推进项目招引建设。</w:t>
      </w:r>
    </w:p>
    <w:p w14:paraId="3C66CD01">
      <w:pPr>
        <w:spacing w:line="640" w:lineRule="exact"/>
        <w:ind w:firstLine="723" w:firstLineChars="200"/>
        <w:rPr>
          <w:rFonts w:ascii="仿宋_GB2312" w:eastAsia="仿宋_GB2312"/>
          <w:sz w:val="36"/>
          <w:szCs w:val="36"/>
        </w:rPr>
      </w:pPr>
      <w:r>
        <w:rPr>
          <w:rFonts w:hint="eastAsia" w:ascii="楷体" w:hAnsi="楷体" w:eastAsia="楷体"/>
          <w:b/>
          <w:sz w:val="36"/>
          <w:szCs w:val="36"/>
        </w:rPr>
        <w:t>(二)立体“画像”，创设岗位权责说明书</w:t>
      </w:r>
      <w:r>
        <w:rPr>
          <w:rFonts w:hint="eastAsia" w:ascii="仿宋_GB2312" w:eastAsia="仿宋_GB2312"/>
          <w:sz w:val="36"/>
          <w:szCs w:val="36"/>
        </w:rPr>
        <w:t>。乡镇(街道)岗位权责说明书是对岗位具体情况的全方位画像，集成岗位名称、所属平台、对应条线、岗位类别等基本信息，具体展现岗位权责、岗位风险、岗位条件、岗位需求、人员控制数等内容，既是岗位履职的基本依据，又是开展工作的实务手册。一是明确岗位权责。整合政务服务延伸事项、赋权乡镇(街道)行政执法事项、委托办理事项、需属地协作事项等各类事项清单，进行条目式细化，清晰规范表述岗位权责。二是明确岗位风险。结合不同岗位特点，全面梳理岗位廉政风险、安全风险、舆论风险、问责风险等，发挥预判、预警、预防等功能。三是明确岗位条件。包括政治素养、工作经验、专业能力、学历条件、身体素质、责任意识等方面的要求，作为人岗匹配的重要参考。四是明确岗位需求。主要是需要乡镇(街道)或上级部门在日常工作、业务提升等方面给予的帮助支持和培训需求。五是明确岗位人员控制数。根据岗位性质和实际工作量，明确岗位最多可配备的人员数量。人员控制数确定后作为人员力量统筹调配的重要参考。</w:t>
      </w:r>
    </w:p>
    <w:p w14:paraId="69102999">
      <w:pPr>
        <w:spacing w:line="640" w:lineRule="exact"/>
        <w:ind w:firstLine="723" w:firstLineChars="200"/>
        <w:rPr>
          <w:rFonts w:ascii="仿宋_GB2312" w:eastAsia="仿宋_GB2312"/>
          <w:sz w:val="36"/>
          <w:szCs w:val="36"/>
        </w:rPr>
      </w:pPr>
      <w:r>
        <w:rPr>
          <w:rFonts w:hint="eastAsia" w:ascii="楷体" w:hAnsi="楷体" w:eastAsia="楷体"/>
          <w:b/>
          <w:sz w:val="36"/>
          <w:szCs w:val="36"/>
        </w:rPr>
        <w:t>(三)人岗匹配，切实提升编制使用效益</w:t>
      </w:r>
      <w:r>
        <w:rPr>
          <w:rFonts w:hint="eastAsia" w:ascii="仿宋_GB2312" w:eastAsia="仿宋_GB2312"/>
          <w:sz w:val="36"/>
          <w:szCs w:val="36"/>
        </w:rPr>
        <w:t>。乡镇(街道)按照人员结构合理、力量统筹分配、衔接稳妥有序的原则，精准匹配岗位人员，促进人尽其才，人岗相适。一是人员岗位双向选择。乡镇(街道)按照“制定方案-选岗动员-意向填报-资格审查-统筹调配-决定公示”的路径，采用干部个人自荐、党委集体研究的“双向选择”方式，充分考虑个人意愿和组织需求，实行“一人多岗”或“一岗多人”，经乡镇(街道)党(工)委审议通过后，公布最终选岗结果，人员立即上岗，相关系统架构、人员信息、标识标牌等进行及时更新。二是统筹使用人员编制。乡镇(街道)行政、事业、编外人员实行统筹使用，同步参与选岗。除公安派出所外，司法、自然资源、市场监管、综合执法、生态环保等部门派驻人员，统一纳入乡镇(街道)岗位管理。强化乡镇(街道)对下沉人员的指挥协调权、管理考核权、推荐提名权、反向否决权的“四权管理”。三是加强重点岗位人员选配。乡镇(街道)中层职数以县域为单位实行总量控制、统筹使用。乡镇(街道)中层干部任命不受行政、事业身份限制。乡镇(街道)党(工)委可以岗位名称任命中层职务，视同中层干部管理使用，强化重点岗位力量保障。</w:t>
      </w:r>
    </w:p>
    <w:p w14:paraId="35CB15A4">
      <w:pPr>
        <w:spacing w:line="640" w:lineRule="exact"/>
        <w:ind w:firstLine="723" w:firstLineChars="200"/>
        <w:rPr>
          <w:rFonts w:ascii="仿宋_GB2312" w:eastAsia="仿宋_GB2312"/>
          <w:sz w:val="36"/>
          <w:szCs w:val="36"/>
        </w:rPr>
      </w:pPr>
      <w:r>
        <w:rPr>
          <w:rFonts w:hint="eastAsia" w:ascii="楷体" w:hAnsi="楷体" w:eastAsia="楷体"/>
          <w:b/>
          <w:sz w:val="36"/>
          <w:szCs w:val="36"/>
        </w:rPr>
        <w:t>(四)综合培养，提升基层干部履职能力</w:t>
      </w:r>
      <w:r>
        <w:rPr>
          <w:rFonts w:hint="eastAsia" w:ascii="仿宋_GB2312" w:eastAsia="仿宋_GB2312"/>
          <w:sz w:val="36"/>
          <w:szCs w:val="36"/>
        </w:rPr>
        <w:t>。根据乡镇(街道)不同岗位特点和实际需求，加强分类分层业务培训，不断提升基层干部的专业知识和工作能力。一是业务主管部门强化专题培训。针对岗位干部知识盲区和能力短板，业务主管部门根据岗位特点，制定专业岗位培训工作计划和方案，围绕乡镇(街道)主要职能，开发特色专题课程，运用座谈交流、案例观摩、技能比武等多种方式，组织岗位专业培训，持续提升履职能力。二是乡镇(街道)加强专业人员培养。结合岗位调整情况，通过师徒结对跟班学习、“传帮带”培训等方式和途径，对业务不同、能力差异的岗位干部开展日常培养，压实岗位工作职责，形成人尽其才、人岗相适的工作格局。</w:t>
      </w:r>
    </w:p>
    <w:p w14:paraId="7CEC0C23">
      <w:pPr>
        <w:spacing w:line="640" w:lineRule="exact"/>
        <w:ind w:firstLine="723" w:firstLineChars="200"/>
        <w:rPr>
          <w:rFonts w:ascii="仿宋_GB2312" w:eastAsia="仿宋_GB2312"/>
          <w:sz w:val="36"/>
          <w:szCs w:val="36"/>
        </w:rPr>
      </w:pPr>
      <w:r>
        <w:rPr>
          <w:rFonts w:hint="eastAsia" w:ascii="楷体" w:hAnsi="楷体" w:eastAsia="楷体"/>
          <w:b/>
          <w:sz w:val="36"/>
          <w:szCs w:val="36"/>
        </w:rPr>
        <w:t>(五)量化考评，激励基层干部担当作为</w:t>
      </w:r>
      <w:r>
        <w:rPr>
          <w:rFonts w:hint="eastAsia" w:ascii="仿宋_GB2312" w:eastAsia="仿宋_GB2312"/>
          <w:sz w:val="36"/>
          <w:szCs w:val="36"/>
        </w:rPr>
        <w:t>。赋予乡镇(街道)更大考核激励调控权，发挥岗位在考评中的基础作用，指导乡镇(街道)优化考评机制，实行考人与考事相结合、定性与定量相结合，推动知事识人体系在乡镇(街道)全覆益。在考核对象上，乡镇(街道)行政、事业、编外人员实行全员统一考核；除公安派出所外，其他县直部门派驻的机构人员与乡镇(街道)干部实行一体化考核，推进派驻干部与乡镇(街道)深度融合。在指标设置上，综合考虑岗位工作量、难易程度、压力等因素，对每个岗位进行量化赋分，合理设置评估岗位分值或评星定级。比如. 长兴县创新打造“六维指数”(创造、专注、协调、管理、专业、风险)岗位赋分机制，作为基层干部考核的基础量化指标。在考核过程中，坚持以便捷、无感为导向，以岗位分值为基础，考准考实乡镇人员的日常表现、工作实绩等。依托数字化信息系统，根据交办量、完成率等对岗位人员自动计分，构建易操作、可量化的考核评价体系。在结果运用上，乡镇(街道) 岗位人员考核结果与评先评优、干部使用、职(等)级晋升、职称评聘、绩效奖金挂钩，体现干与不干、干多干少、干好干坏不一样，激发基层干部干事积极性。</w:t>
      </w:r>
    </w:p>
    <w:p w14:paraId="6A4D5E5B">
      <w:pPr>
        <w:spacing w:line="640" w:lineRule="exact"/>
        <w:ind w:firstLine="723" w:firstLineChars="200"/>
        <w:rPr>
          <w:rFonts w:ascii="仿宋_GB2312" w:eastAsia="仿宋_GB2312"/>
          <w:sz w:val="36"/>
          <w:szCs w:val="36"/>
        </w:rPr>
      </w:pPr>
      <w:r>
        <w:rPr>
          <w:rFonts w:hint="eastAsia" w:ascii="楷体" w:hAnsi="楷体" w:eastAsia="楷体"/>
          <w:b/>
          <w:sz w:val="36"/>
          <w:szCs w:val="36"/>
        </w:rPr>
        <w:t>(六)政策赋能，激发革整体效应</w:t>
      </w:r>
      <w:r>
        <w:rPr>
          <w:rFonts w:hint="eastAsia" w:ascii="仿宋_GB2312" w:eastAsia="仿宋_GB2312"/>
          <w:sz w:val="36"/>
          <w:szCs w:val="36"/>
        </w:rPr>
        <w:t>。坚持问题导向，开展集成创新，从组织架构、机构编制、干部人事、运行机制等方面统筹研究谋划，主动塑造变革，形成政策合力。一是条线协同发力。浙江省市县三级组织、机构编制、财政、人社等部门协同发力，加强与乡镇(街道)岗位管理相衔接配套政策研究，持续深化完善中层干部管理、事业人员专技岗位设置、职级晋升、职称评定、干部档案管理、基层人员培训等制度，破解试点中的共性问题。二是市县综合集成。试点市县全面理顺改革需求，统筹加强政策保障。比如，湖州市制定出台《支持乡镇(街道)岗位管理十条政策》，从畅通干部使用渠道、强化干部考核激励、创新岗位工作机制等方面，保障乡镇(街道)扁平高效运行。三是鼓励基层首创。试点县(市、区)乡镇(街道)发挥主观能动性，结合实际进行创新性拓展，将岗位管理与其他干部管理手段相结合，以岗位化运行管事管人、知事识人、干事育人。</w:t>
      </w:r>
    </w:p>
    <w:p w14:paraId="08FFD5BA">
      <w:pPr>
        <w:spacing w:line="640" w:lineRule="exact"/>
        <w:jc w:val="center"/>
        <w:rPr>
          <w:rFonts w:ascii="黑体" w:hAnsi="黑体" w:eastAsia="黑体"/>
          <w:sz w:val="36"/>
          <w:szCs w:val="36"/>
        </w:rPr>
      </w:pPr>
      <w:r>
        <w:rPr>
          <w:rFonts w:hint="eastAsia" w:ascii="黑体" w:hAnsi="黑体" w:eastAsia="黑体"/>
          <w:sz w:val="36"/>
          <w:szCs w:val="36"/>
        </w:rPr>
        <w:t>二、试点成效</w:t>
      </w:r>
    </w:p>
    <w:p w14:paraId="25572AEF">
      <w:pPr>
        <w:spacing w:line="640" w:lineRule="exact"/>
        <w:ind w:firstLine="723" w:firstLineChars="200"/>
        <w:rPr>
          <w:rFonts w:ascii="仿宋_GB2312" w:eastAsia="仿宋_GB2312"/>
          <w:sz w:val="36"/>
          <w:szCs w:val="36"/>
        </w:rPr>
      </w:pPr>
      <w:r>
        <w:rPr>
          <w:rFonts w:hint="eastAsia" w:ascii="楷体" w:hAnsi="楷体" w:eastAsia="楷体"/>
          <w:b/>
          <w:sz w:val="36"/>
          <w:szCs w:val="36"/>
        </w:rPr>
        <w:t>(一)基层运转更加顺畅</w:t>
      </w:r>
      <w:r>
        <w:rPr>
          <w:rFonts w:hint="eastAsia" w:ascii="仿宋_GB2312" w:eastAsia="仿宋_GB2312"/>
          <w:sz w:val="36"/>
          <w:szCs w:val="36"/>
        </w:rPr>
        <w:t>。从条线部门看，通过规范设置乡镇(街道)岗位，健全完善“—对多、多对一”县乡协同机制，做到日常工作对接到岗到人，条线任务落实更加顺畅高效。从乡镇(街道)看，职责更加清晰，人岗更加匹配，履职方式从领导安排、科室分工向定岗定责、依单履职转变，“县乡一体、条抓块统”县域整体智治工作格局进一步健全。</w:t>
      </w:r>
    </w:p>
    <w:p w14:paraId="6687BB5C">
      <w:pPr>
        <w:spacing w:line="640" w:lineRule="exact"/>
        <w:ind w:firstLine="723" w:firstLineChars="200"/>
        <w:rPr>
          <w:rFonts w:ascii="仿宋_GB2312" w:eastAsia="仿宋_GB2312"/>
          <w:sz w:val="36"/>
          <w:szCs w:val="36"/>
        </w:rPr>
      </w:pPr>
      <w:r>
        <w:rPr>
          <w:rFonts w:hint="eastAsia" w:ascii="楷体" w:hAnsi="楷体" w:eastAsia="楷体"/>
          <w:b/>
          <w:sz w:val="36"/>
          <w:szCs w:val="36"/>
        </w:rPr>
        <w:t>(二)改革牵引更加有力</w:t>
      </w:r>
      <w:r>
        <w:rPr>
          <w:rFonts w:hint="eastAsia" w:ascii="仿宋_GB2312" w:eastAsia="仿宋_GB2312"/>
          <w:sz w:val="36"/>
          <w:szCs w:val="36"/>
        </w:rPr>
        <w:t>。通过构建乡镇(街道)岗位化运行机制，县级派驻乡镇(街道)人员纳入岗位管理，执法事项纳入岗位权责，推进行政执法与基层治理体系有效融合，让基层违法现象“看得见、管得好”。以乡镇(街道)岗位设置为基础，推动线下与线上人员、事项、机制醒合，网格化管理、精细化服务、信息化支撑的基层治理平台更加实战实效。</w:t>
      </w:r>
    </w:p>
    <w:p w14:paraId="1E5A44FF">
      <w:pPr>
        <w:spacing w:line="640" w:lineRule="exact"/>
        <w:ind w:firstLine="723" w:firstLineChars="200"/>
        <w:rPr>
          <w:rFonts w:ascii="仿宋_GB2312" w:eastAsia="仿宋_GB2312"/>
          <w:sz w:val="36"/>
          <w:szCs w:val="36"/>
        </w:rPr>
      </w:pPr>
      <w:r>
        <w:rPr>
          <w:rFonts w:hint="eastAsia" w:ascii="楷体" w:hAnsi="楷体" w:eastAsia="楷体"/>
          <w:b/>
          <w:sz w:val="36"/>
          <w:szCs w:val="36"/>
        </w:rPr>
        <w:t>(三)干事动能更加强劲</w:t>
      </w:r>
      <w:r>
        <w:rPr>
          <w:rFonts w:hint="eastAsia" w:ascii="仿宋_GB2312" w:eastAsia="仿宋_GB2312"/>
          <w:sz w:val="36"/>
          <w:szCs w:val="36"/>
        </w:rPr>
        <w:t>。基层各类人员统一纳入岗位化管理，同步参与选岗、履职、考评、培训等，身份标签弱化，岗位属性强化，责任感、归属感得到进一步增强。试点县普遍反映，岗位化运行为乡镇(街道)抓班子带队伍提供了有力抓手，通过公开晾晒工作，以制度管人管事，评价干部从凭印象向凭实绩转变，有力促进干部为事业担当、组织为干部担当。</w:t>
      </w:r>
    </w:p>
    <w:p w14:paraId="50689AED">
      <w:pPr>
        <w:spacing w:line="640" w:lineRule="exact"/>
        <w:ind w:firstLine="720" w:firstLineChars="200"/>
        <w:rPr>
          <w:rFonts w:ascii="仿宋_GB2312" w:eastAsia="仿宋_GB2312"/>
          <w:sz w:val="36"/>
          <w:szCs w:val="36"/>
        </w:rPr>
      </w:pPr>
      <w:r>
        <w:rPr>
          <w:rFonts w:hint="eastAsia" w:ascii="仿宋_GB2312" w:hAnsi="等线" w:eastAsia="仿宋_GB2312" w:cs="Times New Roman"/>
          <w:sz w:val="36"/>
          <w:szCs w:val="36"/>
        </w:rPr>
        <w:t>（摘自《</w:t>
      </w:r>
      <w:r>
        <w:rPr>
          <w:rFonts w:ascii="仿宋_GB2312" w:hAnsi="等线" w:eastAsia="仿宋_GB2312" w:cs="Times New Roman"/>
          <w:sz w:val="36"/>
          <w:szCs w:val="36"/>
        </w:rPr>
        <w:t>中国机构编制</w:t>
      </w:r>
      <w:r>
        <w:rPr>
          <w:rFonts w:hint="eastAsia" w:ascii="仿宋_GB2312" w:hAnsi="等线" w:eastAsia="仿宋_GB2312" w:cs="Times New Roman"/>
          <w:sz w:val="36"/>
          <w:szCs w:val="36"/>
        </w:rPr>
        <w:t>》202</w:t>
      </w:r>
      <w:r>
        <w:rPr>
          <w:rFonts w:ascii="仿宋_GB2312" w:hAnsi="等线" w:eastAsia="仿宋_GB2312" w:cs="Times New Roman"/>
          <w:sz w:val="36"/>
          <w:szCs w:val="36"/>
        </w:rPr>
        <w:t>4</w:t>
      </w:r>
      <w:r>
        <w:rPr>
          <w:rFonts w:hint="eastAsia" w:ascii="仿宋_GB2312" w:hAnsi="等线" w:eastAsia="仿宋_GB2312" w:cs="Times New Roman"/>
          <w:sz w:val="36"/>
          <w:szCs w:val="36"/>
        </w:rPr>
        <w:t>年</w:t>
      </w:r>
      <w:r>
        <w:rPr>
          <w:rFonts w:ascii="仿宋_GB2312" w:hAnsi="等线" w:eastAsia="仿宋_GB2312" w:cs="Times New Roman"/>
          <w:sz w:val="36"/>
          <w:szCs w:val="36"/>
        </w:rPr>
        <w:t>第1</w:t>
      </w:r>
      <w:r>
        <w:rPr>
          <w:rFonts w:hint="eastAsia" w:ascii="仿宋_GB2312" w:hAnsi="等线" w:eastAsia="仿宋_GB2312" w:cs="Times New Roman"/>
          <w:sz w:val="36"/>
          <w:szCs w:val="36"/>
        </w:rPr>
        <w:t>期）</w:t>
      </w:r>
    </w:p>
    <w:sectPr>
      <w:headerReference r:id="rId8" w:type="default"/>
      <w:pgSz w:w="11906" w:h="16838"/>
      <w:pgMar w:top="1701" w:right="1587" w:bottom="1587" w:left="158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swiss"/>
    <w:pitch w:val="default"/>
    <w:sig w:usb0="A10006FF" w:usb1="4000205B" w:usb2="00000010" w:usb3="00000000" w:csb0="2000019F" w:csb1="00000000"/>
  </w:font>
  <w:font w:name="仿宋_GB2312">
    <w:panose1 w:val="02010609030101010101"/>
    <w:charset w:val="86"/>
    <w:family w:val="modern"/>
    <w:pitch w:val="default"/>
    <w:sig w:usb0="00000001" w:usb1="080E0000" w:usb2="00000000" w:usb3="00000000" w:csb0="00040000" w:csb1="00000000"/>
  </w:font>
  <w:font w:name="方正行楷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方正楷体_GBK">
    <w:altName w:val="微软雅黑"/>
    <w:panose1 w:val="00000000000000000000"/>
    <w:charset w:val="86"/>
    <w:family w:val="auto"/>
    <w:pitch w:val="default"/>
    <w:sig w:usb0="00000000" w:usb1="0000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楷体">
    <w:panose1 w:val="02010609060101010101"/>
    <w:charset w:val="86"/>
    <w:family w:val="modern"/>
    <w:pitch w:val="default"/>
    <w:sig w:usb0="800002BF" w:usb1="38CF7CFA" w:usb2="00000016" w:usb3="00000000" w:csb0="00040001" w:csb1="00000000"/>
  </w:font>
  <w:font w:name="等线">
    <w:panose1 w:val="02010600030101010101"/>
    <w:charset w:val="86"/>
    <w:family w:val="modern"/>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B2054A">
    <w:pPr>
      <w:pStyle w:val="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61E8F3">
                          <w:pPr>
                            <w:pStyle w:val="6"/>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0A61E8F3">
                    <w:pPr>
                      <w:pStyle w:val="6"/>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AA507F">
    <w:pPr>
      <w:pStyle w:val="6"/>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63F2C2">
                          <w:pPr>
                            <w:pStyle w:val="6"/>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3063F2C2">
                    <w:pPr>
                      <w:pStyle w:val="6"/>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9E3D31">
    <w:pPr>
      <w:pStyle w:val="6"/>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5EA0D23">
                          <w:pPr>
                            <w:pStyle w:val="6"/>
                          </w:pPr>
                          <w:r>
                            <w:t xml:space="preserve">— </w:t>
                          </w:r>
                          <w:r>
                            <w:fldChar w:fldCharType="begin"/>
                          </w:r>
                          <w:r>
                            <w:instrText xml:space="preserve"> PAGE  \* MERGEFORMAT </w:instrText>
                          </w:r>
                          <w:r>
                            <w:fldChar w:fldCharType="separate"/>
                          </w:r>
                          <w:r>
                            <w:t>15</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TjvDICAABjBAAADgAAAAAAAAABACAAAAAfAQAAZHJzL2Uyb0RvYy54bWxQSwUG&#10;AAAAAAYABgBZAQAAwwUAAAAA&#10;">
              <v:fill on="f" focussize="0,0"/>
              <v:stroke on="f" weight="0.5pt"/>
              <v:imagedata o:title=""/>
              <o:lock v:ext="edit" aspectratio="f"/>
              <v:textbox inset="0mm,0mm,0mm,0mm" style="mso-fit-shape-to-text:t;">
                <w:txbxContent>
                  <w:p w14:paraId="75EA0D23">
                    <w:pPr>
                      <w:pStyle w:val="6"/>
                    </w:pPr>
                    <w:r>
                      <w:t xml:space="preserve">— </w:t>
                    </w:r>
                    <w:r>
                      <w:fldChar w:fldCharType="begin"/>
                    </w:r>
                    <w:r>
                      <w:instrText xml:space="preserve"> PAGE  \* MERGEFORMAT </w:instrText>
                    </w:r>
                    <w:r>
                      <w:fldChar w:fldCharType="separate"/>
                    </w:r>
                    <w:r>
                      <w:t>15</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F701D1">
    <w:pPr>
      <w:pStyle w:val="7"/>
      <w:rPr>
        <w:rFonts w:ascii="黑体" w:hAnsi="黑体" w:eastAsia="黑体" w:cs="黑体"/>
        <w:sz w:val="28"/>
        <w:szCs w:val="2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76DFAE">
    <w:pPr>
      <w:pStyle w:val="6"/>
      <w:pBdr>
        <w:bottom w:val="single" w:color="auto" w:sz="4" w:space="0"/>
      </w:pBdr>
      <w:rPr>
        <w:rFonts w:hint="eastAsia" w:ascii="黑体" w:hAnsi="黑体" w:eastAsia="黑体" w:cs="黑体"/>
        <w:sz w:val="28"/>
        <w:szCs w:val="28"/>
      </w:rPr>
    </w:pPr>
    <w:r>
      <w:rPr>
        <w:rFonts w:hint="eastAsia" w:ascii="黑体" w:hAnsi="黑体" w:eastAsia="黑体" w:cs="黑体"/>
        <w:sz w:val="28"/>
        <w:szCs w:val="28"/>
      </w:rPr>
      <w:t>临沂市机构</w:t>
    </w:r>
    <w:r>
      <w:rPr>
        <w:rFonts w:ascii="黑体" w:hAnsi="黑体" w:eastAsia="黑体" w:cs="黑体"/>
        <w:sz w:val="28"/>
        <w:szCs w:val="28"/>
      </w:rPr>
      <w:t>编制</w:t>
    </w:r>
    <w:r>
      <w:rPr>
        <w:rFonts w:hint="eastAsia" w:ascii="黑体" w:hAnsi="黑体" w:eastAsia="黑体" w:cs="黑体"/>
        <w:sz w:val="28"/>
        <w:szCs w:val="28"/>
      </w:rPr>
      <w:t>管理</w:t>
    </w:r>
    <w:r>
      <w:rPr>
        <w:rFonts w:ascii="黑体" w:hAnsi="黑体" w:eastAsia="黑体" w:cs="黑体"/>
        <w:sz w:val="28"/>
        <w:szCs w:val="28"/>
      </w:rPr>
      <w:t>经验</w:t>
    </w:r>
  </w:p>
  <w:p w14:paraId="163A4857">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BE6CC7">
    <w:pPr>
      <w:pStyle w:val="7"/>
      <w:pBdr>
        <w:bottom w:val="single" w:color="auto" w:sz="4" w:space="1"/>
      </w:pBdr>
      <w:rPr>
        <w:rFonts w:ascii="黑体" w:hAnsi="黑体" w:eastAsia="黑体" w:cs="黑体"/>
        <w:sz w:val="28"/>
        <w:szCs w:val="28"/>
      </w:rPr>
    </w:pPr>
    <w:r>
      <w:rPr>
        <w:rFonts w:hint="eastAsia" w:ascii="黑体" w:hAnsi="黑体" w:eastAsia="黑体" w:cs="黑体"/>
        <w:sz w:val="28"/>
        <w:szCs w:val="28"/>
      </w:rPr>
      <w:t>优秀理论</w:t>
    </w:r>
    <w:r>
      <w:rPr>
        <w:rFonts w:ascii="黑体" w:hAnsi="黑体" w:eastAsia="黑体" w:cs="黑体"/>
        <w:sz w:val="28"/>
        <w:szCs w:val="28"/>
      </w:rPr>
      <w:t>成果推荐</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F7EA30D7"/>
    <w:rsid w:val="000567F7"/>
    <w:rsid w:val="000A768B"/>
    <w:rsid w:val="000C24B7"/>
    <w:rsid w:val="000E5163"/>
    <w:rsid w:val="000E7B13"/>
    <w:rsid w:val="000F2097"/>
    <w:rsid w:val="000F2DE4"/>
    <w:rsid w:val="000F7323"/>
    <w:rsid w:val="00116266"/>
    <w:rsid w:val="00130B37"/>
    <w:rsid w:val="00140156"/>
    <w:rsid w:val="00146609"/>
    <w:rsid w:val="0016637F"/>
    <w:rsid w:val="00171232"/>
    <w:rsid w:val="00175E56"/>
    <w:rsid w:val="00177B93"/>
    <w:rsid w:val="0018581D"/>
    <w:rsid w:val="001A2B1B"/>
    <w:rsid w:val="001A5178"/>
    <w:rsid w:val="001B6EDC"/>
    <w:rsid w:val="001B76F3"/>
    <w:rsid w:val="001E2DCD"/>
    <w:rsid w:val="00200B97"/>
    <w:rsid w:val="002126AE"/>
    <w:rsid w:val="002210B6"/>
    <w:rsid w:val="0024153C"/>
    <w:rsid w:val="00244976"/>
    <w:rsid w:val="002466AA"/>
    <w:rsid w:val="002627B2"/>
    <w:rsid w:val="00270D79"/>
    <w:rsid w:val="00273495"/>
    <w:rsid w:val="00281315"/>
    <w:rsid w:val="00292D7A"/>
    <w:rsid w:val="00295CD0"/>
    <w:rsid w:val="002A01B5"/>
    <w:rsid w:val="002A2ADA"/>
    <w:rsid w:val="002B28F9"/>
    <w:rsid w:val="002C02A9"/>
    <w:rsid w:val="002C07BF"/>
    <w:rsid w:val="002C3BAF"/>
    <w:rsid w:val="002F2606"/>
    <w:rsid w:val="002F5402"/>
    <w:rsid w:val="002F5BEF"/>
    <w:rsid w:val="00321315"/>
    <w:rsid w:val="00326386"/>
    <w:rsid w:val="003325F5"/>
    <w:rsid w:val="0034036B"/>
    <w:rsid w:val="00343911"/>
    <w:rsid w:val="00356498"/>
    <w:rsid w:val="003579DF"/>
    <w:rsid w:val="00360116"/>
    <w:rsid w:val="00366772"/>
    <w:rsid w:val="00380939"/>
    <w:rsid w:val="00393F88"/>
    <w:rsid w:val="003A2892"/>
    <w:rsid w:val="003D232C"/>
    <w:rsid w:val="003D306E"/>
    <w:rsid w:val="003E47D1"/>
    <w:rsid w:val="003E530A"/>
    <w:rsid w:val="003F08EB"/>
    <w:rsid w:val="00423443"/>
    <w:rsid w:val="00432DFD"/>
    <w:rsid w:val="00437357"/>
    <w:rsid w:val="00454363"/>
    <w:rsid w:val="0045792E"/>
    <w:rsid w:val="00462FB2"/>
    <w:rsid w:val="00464D7A"/>
    <w:rsid w:val="00466A42"/>
    <w:rsid w:val="00474791"/>
    <w:rsid w:val="00493624"/>
    <w:rsid w:val="004A0654"/>
    <w:rsid w:val="004A2EA3"/>
    <w:rsid w:val="004E01D3"/>
    <w:rsid w:val="0050366F"/>
    <w:rsid w:val="0051595F"/>
    <w:rsid w:val="0052572B"/>
    <w:rsid w:val="005347D4"/>
    <w:rsid w:val="00543C7C"/>
    <w:rsid w:val="00543CE0"/>
    <w:rsid w:val="005725FA"/>
    <w:rsid w:val="00594DA3"/>
    <w:rsid w:val="005A03AD"/>
    <w:rsid w:val="005C263D"/>
    <w:rsid w:val="005C7B1C"/>
    <w:rsid w:val="005D16C4"/>
    <w:rsid w:val="005D2F7C"/>
    <w:rsid w:val="005F5294"/>
    <w:rsid w:val="00601A78"/>
    <w:rsid w:val="00607B43"/>
    <w:rsid w:val="00634743"/>
    <w:rsid w:val="006354F5"/>
    <w:rsid w:val="00656F1B"/>
    <w:rsid w:val="0066335F"/>
    <w:rsid w:val="0066434C"/>
    <w:rsid w:val="00683348"/>
    <w:rsid w:val="00686D28"/>
    <w:rsid w:val="00687D91"/>
    <w:rsid w:val="006A1D9E"/>
    <w:rsid w:val="006A2E19"/>
    <w:rsid w:val="006A47AC"/>
    <w:rsid w:val="006B6098"/>
    <w:rsid w:val="006B62E0"/>
    <w:rsid w:val="006C3130"/>
    <w:rsid w:val="006D0FE6"/>
    <w:rsid w:val="006D6A8C"/>
    <w:rsid w:val="006D7B17"/>
    <w:rsid w:val="006E6A6F"/>
    <w:rsid w:val="006E6BF8"/>
    <w:rsid w:val="006F62F7"/>
    <w:rsid w:val="007261DE"/>
    <w:rsid w:val="00733AB2"/>
    <w:rsid w:val="00742070"/>
    <w:rsid w:val="00745197"/>
    <w:rsid w:val="00750CFE"/>
    <w:rsid w:val="00755418"/>
    <w:rsid w:val="007633B5"/>
    <w:rsid w:val="00764A72"/>
    <w:rsid w:val="0077662C"/>
    <w:rsid w:val="00777E6A"/>
    <w:rsid w:val="0079622A"/>
    <w:rsid w:val="007A64ED"/>
    <w:rsid w:val="007B0EBE"/>
    <w:rsid w:val="007B13D1"/>
    <w:rsid w:val="007C6A28"/>
    <w:rsid w:val="007D1907"/>
    <w:rsid w:val="007D3938"/>
    <w:rsid w:val="007E57C7"/>
    <w:rsid w:val="007E63A3"/>
    <w:rsid w:val="00814D67"/>
    <w:rsid w:val="00821817"/>
    <w:rsid w:val="00821FB3"/>
    <w:rsid w:val="00836BAE"/>
    <w:rsid w:val="0085019F"/>
    <w:rsid w:val="00856C23"/>
    <w:rsid w:val="00860FD5"/>
    <w:rsid w:val="0086541D"/>
    <w:rsid w:val="00871FC9"/>
    <w:rsid w:val="008737F7"/>
    <w:rsid w:val="00873B6B"/>
    <w:rsid w:val="00884040"/>
    <w:rsid w:val="008901D0"/>
    <w:rsid w:val="008A4ACE"/>
    <w:rsid w:val="008B42D8"/>
    <w:rsid w:val="008D78AE"/>
    <w:rsid w:val="008E3ECD"/>
    <w:rsid w:val="008E687A"/>
    <w:rsid w:val="008F2DA7"/>
    <w:rsid w:val="008F612B"/>
    <w:rsid w:val="008F681C"/>
    <w:rsid w:val="0092632E"/>
    <w:rsid w:val="00943240"/>
    <w:rsid w:val="009560D2"/>
    <w:rsid w:val="00963739"/>
    <w:rsid w:val="0099075E"/>
    <w:rsid w:val="009A0683"/>
    <w:rsid w:val="009A0DC6"/>
    <w:rsid w:val="009B2F71"/>
    <w:rsid w:val="009B346C"/>
    <w:rsid w:val="009E0B73"/>
    <w:rsid w:val="009E0F67"/>
    <w:rsid w:val="009E1B58"/>
    <w:rsid w:val="009E34D9"/>
    <w:rsid w:val="009E359E"/>
    <w:rsid w:val="009E7AF3"/>
    <w:rsid w:val="00A023CA"/>
    <w:rsid w:val="00A07870"/>
    <w:rsid w:val="00A116DD"/>
    <w:rsid w:val="00A357B0"/>
    <w:rsid w:val="00A4377E"/>
    <w:rsid w:val="00A479FA"/>
    <w:rsid w:val="00A47A79"/>
    <w:rsid w:val="00A56DE7"/>
    <w:rsid w:val="00A604D2"/>
    <w:rsid w:val="00A7520E"/>
    <w:rsid w:val="00A83168"/>
    <w:rsid w:val="00A90D39"/>
    <w:rsid w:val="00A979E0"/>
    <w:rsid w:val="00AC448D"/>
    <w:rsid w:val="00AE4621"/>
    <w:rsid w:val="00AE7FB6"/>
    <w:rsid w:val="00AF5760"/>
    <w:rsid w:val="00B6505E"/>
    <w:rsid w:val="00B931EC"/>
    <w:rsid w:val="00BA17B2"/>
    <w:rsid w:val="00BB0AC6"/>
    <w:rsid w:val="00BB2CC9"/>
    <w:rsid w:val="00BC2E0B"/>
    <w:rsid w:val="00BC40F3"/>
    <w:rsid w:val="00BD679F"/>
    <w:rsid w:val="00BE0F4A"/>
    <w:rsid w:val="00BE4380"/>
    <w:rsid w:val="00BE76F5"/>
    <w:rsid w:val="00C00154"/>
    <w:rsid w:val="00C04C5C"/>
    <w:rsid w:val="00C14785"/>
    <w:rsid w:val="00C16539"/>
    <w:rsid w:val="00C257BA"/>
    <w:rsid w:val="00C43686"/>
    <w:rsid w:val="00C51488"/>
    <w:rsid w:val="00C7028D"/>
    <w:rsid w:val="00C7237F"/>
    <w:rsid w:val="00C75905"/>
    <w:rsid w:val="00C914D6"/>
    <w:rsid w:val="00CA14DB"/>
    <w:rsid w:val="00CA4161"/>
    <w:rsid w:val="00CB3E32"/>
    <w:rsid w:val="00CB4592"/>
    <w:rsid w:val="00CB71D8"/>
    <w:rsid w:val="00CC6C8F"/>
    <w:rsid w:val="00CD00DE"/>
    <w:rsid w:val="00CD5F7E"/>
    <w:rsid w:val="00CE7CC2"/>
    <w:rsid w:val="00D16ACE"/>
    <w:rsid w:val="00D25E1B"/>
    <w:rsid w:val="00D27649"/>
    <w:rsid w:val="00D301C4"/>
    <w:rsid w:val="00D35572"/>
    <w:rsid w:val="00D50737"/>
    <w:rsid w:val="00D54603"/>
    <w:rsid w:val="00D644E8"/>
    <w:rsid w:val="00D70CCE"/>
    <w:rsid w:val="00D8453A"/>
    <w:rsid w:val="00D8592E"/>
    <w:rsid w:val="00D86A6A"/>
    <w:rsid w:val="00D86B15"/>
    <w:rsid w:val="00D87C95"/>
    <w:rsid w:val="00DA2E49"/>
    <w:rsid w:val="00DC5C4B"/>
    <w:rsid w:val="00DE22DD"/>
    <w:rsid w:val="00DE35B1"/>
    <w:rsid w:val="00E10724"/>
    <w:rsid w:val="00E17042"/>
    <w:rsid w:val="00E44338"/>
    <w:rsid w:val="00E548A2"/>
    <w:rsid w:val="00E561DB"/>
    <w:rsid w:val="00E719C6"/>
    <w:rsid w:val="00EA163A"/>
    <w:rsid w:val="00ED148A"/>
    <w:rsid w:val="00ED14BC"/>
    <w:rsid w:val="00EF3836"/>
    <w:rsid w:val="00EF5C0F"/>
    <w:rsid w:val="00EF7AE5"/>
    <w:rsid w:val="00F06DE8"/>
    <w:rsid w:val="00F12D75"/>
    <w:rsid w:val="00F16D8D"/>
    <w:rsid w:val="00F53375"/>
    <w:rsid w:val="00F644B2"/>
    <w:rsid w:val="00F776C6"/>
    <w:rsid w:val="00FA0365"/>
    <w:rsid w:val="00FB43AC"/>
    <w:rsid w:val="00FB6B6D"/>
    <w:rsid w:val="00FC5140"/>
    <w:rsid w:val="00FC5A86"/>
    <w:rsid w:val="00FC6670"/>
    <w:rsid w:val="00FE18CC"/>
    <w:rsid w:val="00FF6E37"/>
    <w:rsid w:val="03B9DF53"/>
    <w:rsid w:val="0BF383F2"/>
    <w:rsid w:val="0CFE4FC5"/>
    <w:rsid w:val="15FD1AD7"/>
    <w:rsid w:val="17F42E87"/>
    <w:rsid w:val="1BBF730D"/>
    <w:rsid w:val="1BF42C42"/>
    <w:rsid w:val="1D664C8C"/>
    <w:rsid w:val="1DFC192A"/>
    <w:rsid w:val="1DFD41D1"/>
    <w:rsid w:val="1FBD07EB"/>
    <w:rsid w:val="1FE9E606"/>
    <w:rsid w:val="1FEFD806"/>
    <w:rsid w:val="2DFE2FD6"/>
    <w:rsid w:val="2EFAC230"/>
    <w:rsid w:val="2F930420"/>
    <w:rsid w:val="32ECB3F5"/>
    <w:rsid w:val="36F9D560"/>
    <w:rsid w:val="37F81439"/>
    <w:rsid w:val="3BDD695F"/>
    <w:rsid w:val="3BDF7895"/>
    <w:rsid w:val="3BFF8ED1"/>
    <w:rsid w:val="3CFE3FEE"/>
    <w:rsid w:val="3D6FD535"/>
    <w:rsid w:val="3DDF4E7B"/>
    <w:rsid w:val="3E5D38C6"/>
    <w:rsid w:val="3E73BFF5"/>
    <w:rsid w:val="3E740C85"/>
    <w:rsid w:val="3E7AF845"/>
    <w:rsid w:val="3EBB82D2"/>
    <w:rsid w:val="3EFD3182"/>
    <w:rsid w:val="3EFFBAC3"/>
    <w:rsid w:val="3F13571E"/>
    <w:rsid w:val="3F795876"/>
    <w:rsid w:val="3FB3C6BB"/>
    <w:rsid w:val="3FBE18E0"/>
    <w:rsid w:val="3FD3D3F8"/>
    <w:rsid w:val="3FD74F6E"/>
    <w:rsid w:val="3FDE2B18"/>
    <w:rsid w:val="3FF77928"/>
    <w:rsid w:val="3FFB3160"/>
    <w:rsid w:val="453FAE2F"/>
    <w:rsid w:val="45DF498C"/>
    <w:rsid w:val="477CDC5C"/>
    <w:rsid w:val="4CDF82D7"/>
    <w:rsid w:val="4DFC58B2"/>
    <w:rsid w:val="4EBF6314"/>
    <w:rsid w:val="4F6AB75D"/>
    <w:rsid w:val="4F7ECA1A"/>
    <w:rsid w:val="4FEFE746"/>
    <w:rsid w:val="518E8C08"/>
    <w:rsid w:val="52EF88EE"/>
    <w:rsid w:val="53F5C0A2"/>
    <w:rsid w:val="55F5C42B"/>
    <w:rsid w:val="571ED0E5"/>
    <w:rsid w:val="57D9CCC6"/>
    <w:rsid w:val="57FFE4C9"/>
    <w:rsid w:val="5BDC74AB"/>
    <w:rsid w:val="5BFC8B2A"/>
    <w:rsid w:val="5C9F27EC"/>
    <w:rsid w:val="5CF74AA2"/>
    <w:rsid w:val="5CFDC3CA"/>
    <w:rsid w:val="5DBF9EF6"/>
    <w:rsid w:val="5ECBDAA1"/>
    <w:rsid w:val="5EFE3CDB"/>
    <w:rsid w:val="5EFF6EEC"/>
    <w:rsid w:val="5EFFD091"/>
    <w:rsid w:val="5F7F6978"/>
    <w:rsid w:val="5F9D6321"/>
    <w:rsid w:val="5FA81AF4"/>
    <w:rsid w:val="5FB7C2F7"/>
    <w:rsid w:val="5FEC6DE4"/>
    <w:rsid w:val="633FED9A"/>
    <w:rsid w:val="65ED9871"/>
    <w:rsid w:val="65FB4311"/>
    <w:rsid w:val="667FEC6B"/>
    <w:rsid w:val="67B45BD8"/>
    <w:rsid w:val="67FB824D"/>
    <w:rsid w:val="67FFDED8"/>
    <w:rsid w:val="696B5CBD"/>
    <w:rsid w:val="6BF35805"/>
    <w:rsid w:val="6BFF9A3A"/>
    <w:rsid w:val="6C3F8447"/>
    <w:rsid w:val="6C8F6BA1"/>
    <w:rsid w:val="6CB3998F"/>
    <w:rsid w:val="6D5E6012"/>
    <w:rsid w:val="6DD7219A"/>
    <w:rsid w:val="6DFBBBB7"/>
    <w:rsid w:val="6DFE1B7F"/>
    <w:rsid w:val="6E9B0F34"/>
    <w:rsid w:val="6F5F800C"/>
    <w:rsid w:val="6F6F80C8"/>
    <w:rsid w:val="6FEFA16D"/>
    <w:rsid w:val="6FF3D6D1"/>
    <w:rsid w:val="6FFF7BCE"/>
    <w:rsid w:val="71BF66E2"/>
    <w:rsid w:val="71F3E2AD"/>
    <w:rsid w:val="71F57FD7"/>
    <w:rsid w:val="737A58D7"/>
    <w:rsid w:val="737F21AB"/>
    <w:rsid w:val="73EEA647"/>
    <w:rsid w:val="73F62D59"/>
    <w:rsid w:val="74C41C9F"/>
    <w:rsid w:val="753F041A"/>
    <w:rsid w:val="757BB7D9"/>
    <w:rsid w:val="765BA7A0"/>
    <w:rsid w:val="76CF990C"/>
    <w:rsid w:val="76FB6D23"/>
    <w:rsid w:val="77D727B1"/>
    <w:rsid w:val="77DFFAB3"/>
    <w:rsid w:val="77FDF49F"/>
    <w:rsid w:val="797E5FA2"/>
    <w:rsid w:val="7999A807"/>
    <w:rsid w:val="79EB1F96"/>
    <w:rsid w:val="79FEA609"/>
    <w:rsid w:val="7A2EE147"/>
    <w:rsid w:val="7ADF05A4"/>
    <w:rsid w:val="7B5EF56E"/>
    <w:rsid w:val="7B6FDD87"/>
    <w:rsid w:val="7B7D3AAA"/>
    <w:rsid w:val="7BE76DCB"/>
    <w:rsid w:val="7BEBB11D"/>
    <w:rsid w:val="7BF492FF"/>
    <w:rsid w:val="7C27DEFF"/>
    <w:rsid w:val="7CB4358A"/>
    <w:rsid w:val="7CD709F8"/>
    <w:rsid w:val="7CFF23E4"/>
    <w:rsid w:val="7D5F9B59"/>
    <w:rsid w:val="7D6F23A6"/>
    <w:rsid w:val="7D7BF43E"/>
    <w:rsid w:val="7DAFA4D6"/>
    <w:rsid w:val="7DED2B3D"/>
    <w:rsid w:val="7DF32267"/>
    <w:rsid w:val="7DFE9FE9"/>
    <w:rsid w:val="7DFFA939"/>
    <w:rsid w:val="7E7BAF8D"/>
    <w:rsid w:val="7F3B5027"/>
    <w:rsid w:val="7F3BE36D"/>
    <w:rsid w:val="7F3F0674"/>
    <w:rsid w:val="7F5BF9D3"/>
    <w:rsid w:val="7F5FE3B0"/>
    <w:rsid w:val="7F7BD492"/>
    <w:rsid w:val="7F870A9A"/>
    <w:rsid w:val="7FAC8F3A"/>
    <w:rsid w:val="7FDF8B85"/>
    <w:rsid w:val="7FDFCD6C"/>
    <w:rsid w:val="7FEA937F"/>
    <w:rsid w:val="7FEB01C6"/>
    <w:rsid w:val="7FEDDA2D"/>
    <w:rsid w:val="7FEE4738"/>
    <w:rsid w:val="7FF79CBC"/>
    <w:rsid w:val="7FFF36D3"/>
    <w:rsid w:val="7FFFD868"/>
    <w:rsid w:val="7FFFDBA9"/>
    <w:rsid w:val="7FFFE045"/>
    <w:rsid w:val="87F2A234"/>
    <w:rsid w:val="8BDFC57C"/>
    <w:rsid w:val="8D39F029"/>
    <w:rsid w:val="92FE599A"/>
    <w:rsid w:val="97FC2604"/>
    <w:rsid w:val="9FDE2BFA"/>
    <w:rsid w:val="9FF373D6"/>
    <w:rsid w:val="A44CBB1A"/>
    <w:rsid w:val="A77B2798"/>
    <w:rsid w:val="AADFA514"/>
    <w:rsid w:val="B0AF9F24"/>
    <w:rsid w:val="B6FA9C85"/>
    <w:rsid w:val="B7732464"/>
    <w:rsid w:val="BAF632B8"/>
    <w:rsid w:val="BB799561"/>
    <w:rsid w:val="BBF8F208"/>
    <w:rsid w:val="BD6FC431"/>
    <w:rsid w:val="BD7B5944"/>
    <w:rsid w:val="BEEB7669"/>
    <w:rsid w:val="BEEFB35F"/>
    <w:rsid w:val="BEFAF163"/>
    <w:rsid w:val="BF5AA3A3"/>
    <w:rsid w:val="BF6E4C97"/>
    <w:rsid w:val="BFCF2BAE"/>
    <w:rsid w:val="BFDF8C0A"/>
    <w:rsid w:val="C7AEFBFC"/>
    <w:rsid w:val="CB77B714"/>
    <w:rsid w:val="D249A713"/>
    <w:rsid w:val="D3FBAC7F"/>
    <w:rsid w:val="D59FD941"/>
    <w:rsid w:val="D6FFCEE4"/>
    <w:rsid w:val="D7F71B20"/>
    <w:rsid w:val="D87FEDC4"/>
    <w:rsid w:val="D88FBE9E"/>
    <w:rsid w:val="D9FF3615"/>
    <w:rsid w:val="DAEEFF1D"/>
    <w:rsid w:val="DB7FFE00"/>
    <w:rsid w:val="DDFF27FF"/>
    <w:rsid w:val="DEBFB32D"/>
    <w:rsid w:val="DF389EB5"/>
    <w:rsid w:val="DF5FB057"/>
    <w:rsid w:val="DFED82F5"/>
    <w:rsid w:val="DFF56418"/>
    <w:rsid w:val="E6FD2DE8"/>
    <w:rsid w:val="E7737EFD"/>
    <w:rsid w:val="E9A95D30"/>
    <w:rsid w:val="EBEAC8EB"/>
    <w:rsid w:val="EE7FEA6E"/>
    <w:rsid w:val="EEB7D620"/>
    <w:rsid w:val="EEB8AFEA"/>
    <w:rsid w:val="EEF65D34"/>
    <w:rsid w:val="EEF72968"/>
    <w:rsid w:val="EF7F2F6F"/>
    <w:rsid w:val="EFCB50DB"/>
    <w:rsid w:val="EFCD6B25"/>
    <w:rsid w:val="EFD94FE2"/>
    <w:rsid w:val="EFDFC6E3"/>
    <w:rsid w:val="EFF7480F"/>
    <w:rsid w:val="EFFDE153"/>
    <w:rsid w:val="F1F79917"/>
    <w:rsid w:val="F37D0BD7"/>
    <w:rsid w:val="F3FDBE0E"/>
    <w:rsid w:val="F3FF3215"/>
    <w:rsid w:val="F3FFF66F"/>
    <w:rsid w:val="F4FF2EFB"/>
    <w:rsid w:val="F5FF011B"/>
    <w:rsid w:val="F69F7750"/>
    <w:rsid w:val="F75FAB15"/>
    <w:rsid w:val="F77F6F62"/>
    <w:rsid w:val="F7A52637"/>
    <w:rsid w:val="F7BB456A"/>
    <w:rsid w:val="F7BF3A30"/>
    <w:rsid w:val="F7BF80A6"/>
    <w:rsid w:val="F7E81E3E"/>
    <w:rsid w:val="F7EA30D7"/>
    <w:rsid w:val="F7FBFC61"/>
    <w:rsid w:val="F7FF3FB5"/>
    <w:rsid w:val="F8DB08C5"/>
    <w:rsid w:val="F9DBB1E7"/>
    <w:rsid w:val="FACB28DE"/>
    <w:rsid w:val="FACBFC65"/>
    <w:rsid w:val="FB1F2F5E"/>
    <w:rsid w:val="FB7E6A92"/>
    <w:rsid w:val="FB7F44C0"/>
    <w:rsid w:val="FB7F5DB5"/>
    <w:rsid w:val="FB8F1737"/>
    <w:rsid w:val="FBBC1D41"/>
    <w:rsid w:val="FBBF468D"/>
    <w:rsid w:val="FBBF82B6"/>
    <w:rsid w:val="FBFF560A"/>
    <w:rsid w:val="FCC7A049"/>
    <w:rsid w:val="FCFE9974"/>
    <w:rsid w:val="FCFFE756"/>
    <w:rsid w:val="FD11DFEF"/>
    <w:rsid w:val="FD6F5097"/>
    <w:rsid w:val="FD77D543"/>
    <w:rsid w:val="FD9FC982"/>
    <w:rsid w:val="FDA5055D"/>
    <w:rsid w:val="FDCFD0E7"/>
    <w:rsid w:val="FDEF1B28"/>
    <w:rsid w:val="FDFF5C87"/>
    <w:rsid w:val="FE77FA0B"/>
    <w:rsid w:val="FE7F5640"/>
    <w:rsid w:val="FEADF31B"/>
    <w:rsid w:val="FEBFD7E3"/>
    <w:rsid w:val="FEEB67BD"/>
    <w:rsid w:val="FEFD4C27"/>
    <w:rsid w:val="FEFF5D98"/>
    <w:rsid w:val="FF5D5FD9"/>
    <w:rsid w:val="FF77779E"/>
    <w:rsid w:val="FF79ACB4"/>
    <w:rsid w:val="FFAF8FD4"/>
    <w:rsid w:val="FFAFB336"/>
    <w:rsid w:val="FFAFC81D"/>
    <w:rsid w:val="FFC6FFFD"/>
    <w:rsid w:val="FFD610AD"/>
    <w:rsid w:val="FFD77EB3"/>
    <w:rsid w:val="FFDA301B"/>
    <w:rsid w:val="FFDC3F14"/>
    <w:rsid w:val="FFDEF4E3"/>
    <w:rsid w:val="FFE956AD"/>
    <w:rsid w:val="FFEC6289"/>
    <w:rsid w:val="FFF3FA23"/>
    <w:rsid w:val="FFF77A45"/>
    <w:rsid w:val="FFFA8A54"/>
    <w:rsid w:val="FFFB7BDB"/>
    <w:rsid w:val="FFFB996A"/>
    <w:rsid w:val="FFFEB0DD"/>
    <w:rsid w:val="FFFF91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semiHidden/>
    <w:unhideWhenUsed/>
    <w:qFormat/>
    <w:uiPriority w:val="0"/>
    <w:pPr>
      <w:spacing w:beforeAutospacing="1" w:afterAutospacing="1"/>
      <w:jc w:val="left"/>
      <w:outlineLvl w:val="1"/>
    </w:pPr>
    <w:rPr>
      <w:rFonts w:hint="eastAsia" w:ascii="宋体" w:hAnsi="宋体" w:eastAsia="宋体" w:cs="Times New Roman"/>
      <w:b/>
      <w:kern w:val="0"/>
      <w:sz w:val="36"/>
      <w:szCs w:val="36"/>
    </w:rPr>
  </w:style>
  <w:style w:type="character" w:default="1" w:styleId="12">
    <w:name w:val="Default Paragraph Font"/>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customStyle="1" w:styleId="2">
    <w:name w:val="Char"/>
    <w:basedOn w:val="1"/>
    <w:qFormat/>
    <w:uiPriority w:val="99"/>
    <w:pPr>
      <w:widowControl/>
      <w:spacing w:line="240" w:lineRule="exact"/>
      <w:jc w:val="left"/>
    </w:pPr>
    <w:rPr>
      <w:rFonts w:ascii="Verdana" w:hAnsi="Verdana"/>
      <w:kern w:val="0"/>
      <w:sz w:val="24"/>
      <w:lang w:eastAsia="en-US"/>
    </w:rPr>
  </w:style>
  <w:style w:type="paragraph" w:styleId="4">
    <w:name w:val="Body Text"/>
    <w:basedOn w:val="1"/>
    <w:link w:val="17"/>
    <w:qFormat/>
    <w:uiPriority w:val="0"/>
    <w:pPr>
      <w:spacing w:after="120"/>
    </w:pPr>
  </w:style>
  <w:style w:type="paragraph" w:styleId="5">
    <w:name w:val="Balloon Text"/>
    <w:basedOn w:val="1"/>
    <w:link w:val="16"/>
    <w:qFormat/>
    <w:uiPriority w:val="0"/>
    <w:rPr>
      <w:sz w:val="18"/>
      <w:szCs w:val="18"/>
    </w:rPr>
  </w:style>
  <w:style w:type="paragraph" w:styleId="6">
    <w:name w:val="footer"/>
    <w:basedOn w:val="1"/>
    <w:link w:val="18"/>
    <w:qFormat/>
    <w:uiPriority w:val="0"/>
    <w:pPr>
      <w:tabs>
        <w:tab w:val="center" w:pos="4153"/>
        <w:tab w:val="right" w:pos="8306"/>
      </w:tabs>
      <w:snapToGrid w:val="0"/>
      <w:jc w:val="left"/>
    </w:pPr>
    <w:rPr>
      <w:sz w:val="18"/>
    </w:rPr>
  </w:style>
  <w:style w:type="paragraph" w:styleId="7">
    <w:name w:val="header"/>
    <w:basedOn w:val="1"/>
    <w:link w:val="1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8">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Times New Roman"/>
      <w:kern w:val="0"/>
      <w:sz w:val="24"/>
    </w:rPr>
  </w:style>
  <w:style w:type="paragraph" w:styleId="9">
    <w:name w:val="Normal (Web)"/>
    <w:basedOn w:val="1"/>
    <w:qFormat/>
    <w:uiPriority w:val="0"/>
    <w:pPr>
      <w:spacing w:beforeAutospacing="1" w:afterAutospacing="1"/>
      <w:jc w:val="left"/>
    </w:pPr>
    <w:rPr>
      <w:rFonts w:cs="Times New Roman"/>
      <w:kern w:val="0"/>
      <w:sz w:val="24"/>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basedOn w:val="12"/>
    <w:qFormat/>
    <w:uiPriority w:val="0"/>
    <w:rPr>
      <w:b/>
    </w:rPr>
  </w:style>
  <w:style w:type="character" w:styleId="14">
    <w:name w:val="Hyperlink"/>
    <w:basedOn w:val="12"/>
    <w:qFormat/>
    <w:uiPriority w:val="0"/>
    <w:rPr>
      <w:color w:val="0563C1" w:themeColor="hyperlink"/>
      <w:u w:val="single"/>
      <w14:textFill>
        <w14:solidFill>
          <w14:schemeClr w14:val="hlink"/>
        </w14:solidFill>
      </w14:textFill>
    </w:rPr>
  </w:style>
  <w:style w:type="paragraph" w:styleId="15">
    <w:name w:val="List Paragraph"/>
    <w:basedOn w:val="1"/>
    <w:qFormat/>
    <w:uiPriority w:val="34"/>
    <w:pPr>
      <w:ind w:firstLine="420" w:firstLineChars="200"/>
    </w:pPr>
    <w:rPr>
      <w:szCs w:val="22"/>
    </w:rPr>
  </w:style>
  <w:style w:type="character" w:customStyle="1" w:styleId="16">
    <w:name w:val="批注框文本 字符"/>
    <w:basedOn w:val="12"/>
    <w:link w:val="5"/>
    <w:qFormat/>
    <w:uiPriority w:val="0"/>
    <w:rPr>
      <w:rFonts w:asciiTheme="minorHAnsi" w:hAnsiTheme="minorHAnsi" w:eastAsiaTheme="minorEastAsia" w:cstheme="minorBidi"/>
      <w:kern w:val="2"/>
      <w:sz w:val="18"/>
      <w:szCs w:val="18"/>
    </w:rPr>
  </w:style>
  <w:style w:type="character" w:customStyle="1" w:styleId="17">
    <w:name w:val="正文文本 字符"/>
    <w:basedOn w:val="12"/>
    <w:link w:val="4"/>
    <w:qFormat/>
    <w:uiPriority w:val="0"/>
    <w:rPr>
      <w:rFonts w:asciiTheme="minorHAnsi" w:hAnsiTheme="minorHAnsi" w:eastAsiaTheme="minorEastAsia" w:cstheme="minorBidi"/>
      <w:kern w:val="2"/>
      <w:sz w:val="21"/>
      <w:szCs w:val="24"/>
    </w:rPr>
  </w:style>
  <w:style w:type="character" w:customStyle="1" w:styleId="18">
    <w:name w:val="页脚 字符"/>
    <w:basedOn w:val="12"/>
    <w:link w:val="6"/>
    <w:qFormat/>
    <w:uiPriority w:val="0"/>
    <w:rPr>
      <w:rFonts w:asciiTheme="minorHAnsi" w:hAnsiTheme="minorHAnsi" w:eastAsiaTheme="minorEastAsia" w:cstheme="minorBidi"/>
      <w:kern w:val="2"/>
      <w:sz w:val="18"/>
      <w:szCs w:val="24"/>
    </w:rPr>
  </w:style>
  <w:style w:type="character" w:customStyle="1" w:styleId="19">
    <w:name w:val="页眉 字符"/>
    <w:basedOn w:val="12"/>
    <w:link w:val="7"/>
    <w:qFormat/>
    <w:uiPriority w:val="0"/>
    <w:rPr>
      <w:rFonts w:asciiTheme="minorHAnsi" w:hAnsiTheme="minorHAnsi" w:eastAsiaTheme="minorEastAsia" w:cstheme="minorBidi"/>
      <w:kern w:val="2"/>
      <w:sz w:val="18"/>
      <w:szCs w:val="24"/>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DoubleOX</Company>
  <Pages>21</Pages>
  <Words>8440</Words>
  <Characters>8619</Characters>
  <Lines>61</Lines>
  <Paragraphs>17</Paragraphs>
  <TotalTime>0</TotalTime>
  <ScaleCrop>false</ScaleCrop>
  <LinksUpToDate>false</LinksUpToDate>
  <CharactersWithSpaces>8624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2024-02-29T02:01:00Z</dcterms:created>
  <dc:creator>kylin</dc:creator>
  <cp:lastModifiedBy>uuu</cp:lastModifiedBy>
  <cp:lastPrinted>2024-01-25T08:58:00Z</cp:lastPrinted>
  <dcterms:modified xsi:type="dcterms:W3CDTF">2025-11-24T03:49:32Z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eyJoZGlkIjoiMzgxZTgzZmM0ZGRkYjM5ZjdmMWNlOGZjMDU3YjFiMjAiLCJ1c2VySWQiOiIxMTQwMzQwNzcwIn0=</vt:lpwstr>
  </property>
  <property fmtid="{D5CDD505-2E9C-101B-9397-08002B2CF9AE}" pid="4" name="ICV">
    <vt:lpwstr>C3A6E99C490D400C94DB3CA4E8BB1251_12</vt:lpwstr>
  </property>
</Properties>
</file>